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EABA" w14:textId="77777777" w:rsidR="006A463F" w:rsidRPr="001807BF" w:rsidRDefault="00190485" w:rsidP="006A463F">
      <w:pPr>
        <w:pStyle w:val="IntenseQuote"/>
        <w:spacing w:before="0" w:after="0" w:line="240" w:lineRule="auto"/>
        <w:rPr>
          <w:rFonts w:cs="Calibri"/>
          <w:b/>
          <w:color w:val="auto"/>
          <w:sz w:val="28"/>
          <w:szCs w:val="28"/>
        </w:rPr>
      </w:pPr>
      <w:r>
        <w:rPr>
          <w:rFonts w:cs="Calibri"/>
          <w:b/>
          <w:color w:val="auto"/>
          <w:sz w:val="28"/>
          <w:szCs w:val="28"/>
        </w:rPr>
        <w:t>MBIE &amp; PSA Working Group -</w:t>
      </w:r>
      <w:r w:rsidR="006A463F" w:rsidRPr="001807BF">
        <w:rPr>
          <w:rFonts w:cs="Calibri"/>
          <w:b/>
          <w:color w:val="auto"/>
          <w:sz w:val="28"/>
          <w:szCs w:val="28"/>
        </w:rPr>
        <w:t xml:space="preserve"> Terms of Reference </w:t>
      </w:r>
    </w:p>
    <w:p w14:paraId="770CA4A1" w14:textId="77777777" w:rsidR="006A463F" w:rsidRPr="001807BF" w:rsidRDefault="006A463F" w:rsidP="006A463F">
      <w:pPr>
        <w:ind w:left="426"/>
        <w:rPr>
          <w:rFonts w:ascii="Calibri" w:hAnsi="Calibri" w:cs="Calibri"/>
          <w:b/>
          <w:bCs/>
        </w:rPr>
      </w:pPr>
    </w:p>
    <w:p w14:paraId="3B14A422" w14:textId="77777777" w:rsidR="006A463F" w:rsidRPr="00587991" w:rsidRDefault="006A463F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 w:rsidRPr="00587991">
        <w:rPr>
          <w:rFonts w:ascii="Calibri" w:hAnsi="Calibri" w:cs="Calibri"/>
          <w:b/>
          <w:bCs/>
          <w:sz w:val="20"/>
          <w:szCs w:val="20"/>
        </w:rPr>
        <w:t>The purpose of this document is to:</w:t>
      </w:r>
    </w:p>
    <w:p w14:paraId="21E978B5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Provide an overview of the project i.e. the “what”, “when” and “why”</w:t>
      </w:r>
    </w:p>
    <w:p w14:paraId="14C86EC1" w14:textId="5402F779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Detail “how” the project will be managed and “who” will be involved</w:t>
      </w:r>
    </w:p>
    <w:p w14:paraId="684DA206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Provide a baseline document against which the Governance Group can assess progress and resolve issues.</w:t>
      </w:r>
    </w:p>
    <w:p w14:paraId="054DBE10" w14:textId="77777777" w:rsidR="006A463F" w:rsidRPr="00587991" w:rsidRDefault="006A463F" w:rsidP="006A463F">
      <w:pPr>
        <w:pStyle w:val="NormalWeb"/>
        <w:spacing w:before="0" w:beforeAutospacing="0" w:after="0" w:afterAutospacing="0"/>
        <w:ind w:left="714"/>
        <w:rPr>
          <w:rFonts w:ascii="Calibri" w:hAnsi="Calibri" w:cs="Calibri"/>
          <w:sz w:val="20"/>
          <w:szCs w:val="20"/>
        </w:rPr>
      </w:pPr>
    </w:p>
    <w:p w14:paraId="12812549" w14:textId="72241AA6" w:rsidR="006A463F" w:rsidRPr="00587991" w:rsidRDefault="00301D71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Mahi Tahi </w:t>
      </w:r>
      <w:r w:rsidR="006A463F" w:rsidRPr="00587991">
        <w:rPr>
          <w:rFonts w:ascii="Calibri" w:hAnsi="Calibri" w:cs="Calibri"/>
          <w:b/>
          <w:bCs/>
          <w:sz w:val="20"/>
          <w:szCs w:val="20"/>
        </w:rPr>
        <w:t>Working Together</w:t>
      </w:r>
    </w:p>
    <w:p w14:paraId="7F802134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Recommendations to the Governance Group by consensus where possible</w:t>
      </w:r>
    </w:p>
    <w:p w14:paraId="7186D73A" w14:textId="10DCC08A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Where agreement cannot be reached escalate the issue to the Governance Group</w:t>
      </w:r>
    </w:p>
    <w:p w14:paraId="5CFBB857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The parties will communicate with each other openly, timely and freely</w:t>
      </w:r>
    </w:p>
    <w:p w14:paraId="3FDBCD94" w14:textId="7FD330F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The parties will work together openly and transparently to establish and maintain a relationship based on co-operation and partnership</w:t>
      </w:r>
    </w:p>
    <w:p w14:paraId="6E6A76C9" w14:textId="640A74D4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Additional attendees by agreement between the parties</w:t>
      </w:r>
    </w:p>
    <w:p w14:paraId="055BFCED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The parties agree to work collectively to complete this work as per the agreed project timeline.</w:t>
      </w:r>
    </w:p>
    <w:p w14:paraId="3502C5F9" w14:textId="77777777" w:rsidR="006A463F" w:rsidRPr="00587991" w:rsidRDefault="006A463F" w:rsidP="006A463F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14:paraId="4671ABF0" w14:textId="77777777" w:rsidR="006A463F" w:rsidRPr="00587991" w:rsidRDefault="006A463F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 w:rsidRPr="00587991">
        <w:rPr>
          <w:rFonts w:ascii="Calibri" w:hAnsi="Calibri" w:cs="Calibri"/>
          <w:b/>
          <w:bCs/>
          <w:sz w:val="20"/>
          <w:szCs w:val="20"/>
        </w:rPr>
        <w:t>Objectives</w:t>
      </w:r>
    </w:p>
    <w:p w14:paraId="11DDDECC" w14:textId="036A7CFC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 xml:space="preserve">To develop </w:t>
      </w:r>
      <w:r w:rsidR="00301D71">
        <w:rPr>
          <w:rFonts w:ascii="Calibri" w:hAnsi="Calibri" w:cs="Calibri"/>
          <w:sz w:val="20"/>
          <w:szCs w:val="20"/>
        </w:rPr>
        <w:t xml:space="preserve">a </w:t>
      </w:r>
      <w:r w:rsidRPr="00587991">
        <w:rPr>
          <w:rFonts w:ascii="Calibri" w:hAnsi="Calibri" w:cs="Calibri"/>
          <w:sz w:val="20"/>
          <w:szCs w:val="20"/>
        </w:rPr>
        <w:t xml:space="preserve">culture </w:t>
      </w:r>
      <w:r w:rsidR="00301D71">
        <w:rPr>
          <w:rFonts w:ascii="Calibri" w:hAnsi="Calibri" w:cs="Calibri"/>
          <w:sz w:val="20"/>
          <w:szCs w:val="20"/>
        </w:rPr>
        <w:t xml:space="preserve">of </w:t>
      </w:r>
      <w:r w:rsidRPr="00587991">
        <w:rPr>
          <w:rFonts w:ascii="Calibri" w:hAnsi="Calibri" w:cs="Calibri"/>
          <w:sz w:val="20"/>
          <w:szCs w:val="20"/>
        </w:rPr>
        <w:t>open and transparent engagement</w:t>
      </w:r>
    </w:p>
    <w:p w14:paraId="07B8EBF7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To encourage innovation and creativity</w:t>
      </w:r>
    </w:p>
    <w:p w14:paraId="5C410A84" w14:textId="77777777" w:rsidR="006A463F" w:rsidRPr="00587991" w:rsidRDefault="006A463F" w:rsidP="006A463F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>To resolve issues in a timely fashion</w:t>
      </w:r>
    </w:p>
    <w:p w14:paraId="39F6968B" w14:textId="4DDFBCF8" w:rsidR="006A463F" w:rsidRPr="0091513D" w:rsidRDefault="006A463F" w:rsidP="0091513D">
      <w:pPr>
        <w:pStyle w:val="NormalWeb"/>
        <w:numPr>
          <w:ilvl w:val="0"/>
          <w:numId w:val="1"/>
        </w:numPr>
        <w:spacing w:before="0" w:beforeAutospacing="0" w:after="0" w:afterAutospacing="0"/>
        <w:ind w:left="851" w:hanging="425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 xml:space="preserve">Working towards a bi-cultural organisation that supports Ngā </w:t>
      </w:r>
      <w:r w:rsidR="00301D71">
        <w:rPr>
          <w:rFonts w:ascii="Calibri" w:hAnsi="Calibri" w:cs="Calibri"/>
          <w:sz w:val="20"/>
          <w:szCs w:val="20"/>
        </w:rPr>
        <w:t>K</w:t>
      </w:r>
      <w:r w:rsidRPr="00587991">
        <w:rPr>
          <w:rFonts w:ascii="Calibri" w:hAnsi="Calibri" w:cs="Calibri"/>
          <w:sz w:val="20"/>
          <w:szCs w:val="20"/>
        </w:rPr>
        <w:t>aupapa</w:t>
      </w:r>
      <w:r w:rsidR="00301D71">
        <w:rPr>
          <w:rFonts w:ascii="Calibri" w:hAnsi="Calibri" w:cs="Calibri"/>
          <w:sz w:val="20"/>
          <w:szCs w:val="20"/>
        </w:rPr>
        <w:t xml:space="preserve"> and</w:t>
      </w:r>
      <w:r w:rsidR="0091513D">
        <w:rPr>
          <w:rFonts w:ascii="Calibri" w:hAnsi="Calibri" w:cs="Calibri"/>
          <w:sz w:val="20"/>
          <w:szCs w:val="20"/>
        </w:rPr>
        <w:t xml:space="preserve"> Te Ara </w:t>
      </w:r>
      <w:proofErr w:type="spellStart"/>
      <w:r w:rsidR="0091513D">
        <w:rPr>
          <w:rFonts w:ascii="Calibri" w:hAnsi="Calibri" w:cs="Calibri"/>
          <w:sz w:val="20"/>
          <w:szCs w:val="20"/>
        </w:rPr>
        <w:t>Amiorangi</w:t>
      </w:r>
      <w:proofErr w:type="spellEnd"/>
    </w:p>
    <w:p w14:paraId="43FA3301" w14:textId="77777777" w:rsidR="006A463F" w:rsidRPr="00587991" w:rsidRDefault="006A463F" w:rsidP="006A463F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0"/>
          <w:szCs w:val="20"/>
        </w:rPr>
      </w:pPr>
    </w:p>
    <w:p w14:paraId="70838567" w14:textId="77777777" w:rsidR="006A463F" w:rsidRPr="00587991" w:rsidRDefault="00085828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Programme</w:t>
      </w:r>
      <w:r w:rsidR="006A463F" w:rsidRPr="00587991">
        <w:rPr>
          <w:rFonts w:ascii="Calibri" w:hAnsi="Calibri" w:cs="Calibri"/>
          <w:b/>
          <w:bCs/>
          <w:sz w:val="20"/>
          <w:szCs w:val="20"/>
        </w:rPr>
        <w:t xml:space="preserve"> Scope</w:t>
      </w:r>
    </w:p>
    <w:p w14:paraId="00A1AAAC" w14:textId="279BDBFC" w:rsidR="00500238" w:rsidRDefault="006A463F" w:rsidP="0091513D">
      <w:pPr>
        <w:pStyle w:val="NormalWeb"/>
        <w:spacing w:before="0" w:beforeAutospacing="0" w:after="0" w:afterAutospacing="0"/>
        <w:ind w:left="426"/>
        <w:rPr>
          <w:rFonts w:ascii="Calibri" w:hAnsi="Calibri" w:cs="Calibri"/>
          <w:sz w:val="20"/>
          <w:szCs w:val="20"/>
        </w:rPr>
      </w:pPr>
      <w:r w:rsidRPr="00587991">
        <w:rPr>
          <w:rFonts w:ascii="Calibri" w:hAnsi="Calibri" w:cs="Calibri"/>
          <w:sz w:val="20"/>
          <w:szCs w:val="20"/>
        </w:rPr>
        <w:t xml:space="preserve">The </w:t>
      </w:r>
      <w:r w:rsidR="00085828">
        <w:rPr>
          <w:rFonts w:ascii="Calibri" w:hAnsi="Calibri" w:cs="Calibri"/>
          <w:sz w:val="20"/>
          <w:szCs w:val="20"/>
        </w:rPr>
        <w:t>current prog</w:t>
      </w:r>
      <w:r w:rsidR="00616997">
        <w:rPr>
          <w:rFonts w:ascii="Calibri" w:hAnsi="Calibri" w:cs="Calibri"/>
          <w:sz w:val="20"/>
          <w:szCs w:val="20"/>
        </w:rPr>
        <w:t>r</w:t>
      </w:r>
      <w:r w:rsidR="00085828">
        <w:rPr>
          <w:rFonts w:ascii="Calibri" w:hAnsi="Calibri" w:cs="Calibri"/>
          <w:sz w:val="20"/>
          <w:szCs w:val="20"/>
        </w:rPr>
        <w:t>amme of work</w:t>
      </w:r>
      <w:r w:rsidRPr="00587991">
        <w:rPr>
          <w:rFonts w:ascii="Calibri" w:hAnsi="Calibri" w:cs="Calibri"/>
          <w:sz w:val="20"/>
          <w:szCs w:val="20"/>
        </w:rPr>
        <w:t xml:space="preserve"> includes the following</w:t>
      </w:r>
      <w:r w:rsidR="00085828">
        <w:rPr>
          <w:rFonts w:ascii="Calibri" w:hAnsi="Calibri" w:cs="Calibri"/>
          <w:sz w:val="20"/>
          <w:szCs w:val="20"/>
        </w:rPr>
        <w:t xml:space="preserve"> projects</w:t>
      </w:r>
      <w:r w:rsidRPr="00587991">
        <w:rPr>
          <w:rFonts w:ascii="Calibri" w:hAnsi="Calibri" w:cs="Calibri"/>
          <w:sz w:val="20"/>
          <w:szCs w:val="20"/>
        </w:rPr>
        <w:t xml:space="preserve">: </w:t>
      </w:r>
      <w:r w:rsidR="00500238">
        <w:rPr>
          <w:rFonts w:ascii="Calibri" w:hAnsi="Calibri" w:cs="Calibri"/>
          <w:sz w:val="20"/>
          <w:szCs w:val="20"/>
        </w:rPr>
        <w:t>(see detailed schedules in the appendix of this document)</w:t>
      </w:r>
      <w:r w:rsidR="00085828">
        <w:rPr>
          <w:rFonts w:ascii="Calibri" w:hAnsi="Calibri" w:cs="Calibri"/>
          <w:sz w:val="20"/>
          <w:szCs w:val="20"/>
        </w:rPr>
        <w:t>.  Additional projects can be added by agreement and the relevant scope schedules will be agreed in the Working Group and take</w:t>
      </w:r>
      <w:r w:rsidR="00301D71">
        <w:rPr>
          <w:rFonts w:ascii="Calibri" w:hAnsi="Calibri" w:cs="Calibri"/>
          <w:sz w:val="20"/>
          <w:szCs w:val="20"/>
        </w:rPr>
        <w:t>n</w:t>
      </w:r>
      <w:r w:rsidR="00085828">
        <w:rPr>
          <w:rFonts w:ascii="Calibri" w:hAnsi="Calibri" w:cs="Calibri"/>
          <w:sz w:val="20"/>
          <w:szCs w:val="20"/>
        </w:rPr>
        <w:t xml:space="preserve"> to Governance for approval.</w:t>
      </w:r>
    </w:p>
    <w:p w14:paraId="551D2B7A" w14:textId="77777777" w:rsidR="00500238" w:rsidRDefault="00500238" w:rsidP="006A463F">
      <w:pPr>
        <w:pStyle w:val="NormalWeb"/>
        <w:spacing w:before="0" w:beforeAutospacing="0" w:after="0" w:afterAutospacing="0"/>
        <w:ind w:firstLine="426"/>
        <w:rPr>
          <w:rFonts w:ascii="Calibri" w:hAnsi="Calibri" w:cs="Calibri"/>
          <w:sz w:val="20"/>
          <w:szCs w:val="20"/>
        </w:rPr>
      </w:pPr>
    </w:p>
    <w:p w14:paraId="5B19BA7E" w14:textId="34C74E09" w:rsidR="00500238" w:rsidRDefault="00500238" w:rsidP="0050023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Career &amp; Pay Progression </w:t>
      </w:r>
      <w:r w:rsidR="0091513D">
        <w:rPr>
          <w:rFonts w:ascii="Calibri" w:hAnsi="Calibri" w:cs="Calibri"/>
          <w:sz w:val="20"/>
          <w:szCs w:val="20"/>
        </w:rPr>
        <w:t>v3.0</w:t>
      </w:r>
    </w:p>
    <w:p w14:paraId="05144A8B" w14:textId="77777777" w:rsidR="00500238" w:rsidRDefault="00CE3E34" w:rsidP="0050023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Flexible Working</w:t>
      </w:r>
    </w:p>
    <w:p w14:paraId="767C7702" w14:textId="7E8071C9" w:rsidR="00BF34F4" w:rsidRDefault="00CE3E34" w:rsidP="0050023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Shift</w:t>
      </w:r>
      <w:r w:rsidR="000E183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work</w:t>
      </w:r>
      <w:r w:rsidR="00BF34F4">
        <w:rPr>
          <w:rFonts w:ascii="Calibri" w:hAnsi="Calibri" w:cs="Calibri"/>
          <w:sz w:val="20"/>
          <w:szCs w:val="20"/>
        </w:rPr>
        <w:t xml:space="preserve"> provisions</w:t>
      </w:r>
      <w:r w:rsidR="000E1830">
        <w:rPr>
          <w:rFonts w:ascii="Calibri" w:hAnsi="Calibri" w:cs="Calibri"/>
          <w:sz w:val="20"/>
          <w:szCs w:val="20"/>
        </w:rPr>
        <w:t>, including formation of a Roster Committee</w:t>
      </w:r>
    </w:p>
    <w:p w14:paraId="19638F5B" w14:textId="719EEFDB" w:rsidR="00CE3E34" w:rsidRDefault="00A10520" w:rsidP="0050023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Mahi Tahi</w:t>
      </w:r>
      <w:r w:rsidR="00946612">
        <w:rPr>
          <w:rFonts w:ascii="Calibri" w:hAnsi="Calibri" w:cs="Calibri"/>
          <w:sz w:val="20"/>
          <w:szCs w:val="20"/>
        </w:rPr>
        <w:t xml:space="preserve"> – </w:t>
      </w:r>
      <w:r w:rsidR="000E1830">
        <w:rPr>
          <w:rFonts w:ascii="Calibri" w:hAnsi="Calibri" w:cs="Calibri"/>
          <w:sz w:val="20"/>
          <w:szCs w:val="20"/>
        </w:rPr>
        <w:t>education and guidance for people leaders</w:t>
      </w:r>
    </w:p>
    <w:p w14:paraId="1B7F58BF" w14:textId="69020AA9" w:rsidR="00946612" w:rsidRDefault="00946612" w:rsidP="00B4399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Policy</w:t>
      </w:r>
      <w:r w:rsidR="000E1830">
        <w:rPr>
          <w:rFonts w:ascii="Calibri" w:hAnsi="Calibri" w:cs="Calibri"/>
          <w:sz w:val="20"/>
          <w:szCs w:val="20"/>
        </w:rPr>
        <w:t xml:space="preserve"> reviews ensuring Te Ao M</w:t>
      </w:r>
      <w:r w:rsidR="00440E42">
        <w:rPr>
          <w:rFonts w:ascii="Calibri" w:hAnsi="Calibri" w:cs="Calibri"/>
          <w:sz w:val="20"/>
          <w:szCs w:val="20"/>
        </w:rPr>
        <w:t>ā</w:t>
      </w:r>
      <w:r w:rsidR="000E1830">
        <w:rPr>
          <w:rFonts w:ascii="Calibri" w:hAnsi="Calibri" w:cs="Calibri"/>
          <w:sz w:val="20"/>
          <w:szCs w:val="20"/>
        </w:rPr>
        <w:t>ori overview</w:t>
      </w:r>
    </w:p>
    <w:p w14:paraId="2DD3DAB0" w14:textId="791B1B40" w:rsidR="00397311" w:rsidRDefault="00397311" w:rsidP="00B4399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Future commitment to recognition of service for NZ Police, NZDF and other bodies</w:t>
      </w:r>
    </w:p>
    <w:p w14:paraId="6117F017" w14:textId="03136A01" w:rsidR="00864CFE" w:rsidRDefault="00864CFE" w:rsidP="00B4399E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Hauora allowance guidelines</w:t>
      </w:r>
    </w:p>
    <w:p w14:paraId="10E645EE" w14:textId="44399E56" w:rsidR="00A105C9" w:rsidRPr="000E1830" w:rsidRDefault="00BF34F4" w:rsidP="000E183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Gender &amp; Ethnic Pay Action Plan (GEPAG) – quarterly review</w:t>
      </w:r>
    </w:p>
    <w:p w14:paraId="7F3F998A" w14:textId="4E36C801" w:rsidR="00864CFE" w:rsidRDefault="00864CFE" w:rsidP="00BF34F4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Success </w:t>
      </w:r>
      <w:r w:rsidR="00D411D7">
        <w:rPr>
          <w:rFonts w:ascii="Calibri" w:hAnsi="Calibri" w:cs="Calibri"/>
          <w:sz w:val="20"/>
          <w:szCs w:val="20"/>
        </w:rPr>
        <w:t xml:space="preserve">Measures </w:t>
      </w:r>
      <w:r>
        <w:rPr>
          <w:rFonts w:ascii="Calibri" w:hAnsi="Calibri" w:cs="Calibri"/>
          <w:sz w:val="20"/>
          <w:szCs w:val="20"/>
        </w:rPr>
        <w:t>Framework</w:t>
      </w:r>
    </w:p>
    <w:p w14:paraId="768B4C6F" w14:textId="77777777" w:rsidR="00BF34F4" w:rsidRPr="00946612" w:rsidRDefault="00BF34F4" w:rsidP="00BF34F4">
      <w:pPr>
        <w:pStyle w:val="NormalWeb"/>
        <w:spacing w:before="0" w:beforeAutospacing="0" w:after="0" w:afterAutospacing="0"/>
        <w:ind w:left="1437"/>
        <w:rPr>
          <w:rFonts w:ascii="Calibri" w:hAnsi="Calibri" w:cs="Calibri"/>
          <w:sz w:val="20"/>
          <w:szCs w:val="20"/>
        </w:rPr>
      </w:pPr>
    </w:p>
    <w:p w14:paraId="40A7A5B9" w14:textId="77777777" w:rsidR="006A463F" w:rsidRPr="00587991" w:rsidRDefault="006A463F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 w:rsidRPr="00587991">
        <w:rPr>
          <w:rFonts w:ascii="Calibri" w:hAnsi="Calibri" w:cs="Calibri"/>
          <w:b/>
          <w:bCs/>
          <w:sz w:val="20"/>
          <w:szCs w:val="20"/>
        </w:rPr>
        <w:t>Roles and Responsibilities</w:t>
      </w: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827"/>
        <w:gridCol w:w="3403"/>
      </w:tblGrid>
      <w:tr w:rsidR="006A463F" w:rsidRPr="00587991" w14:paraId="3C1FF93C" w14:textId="77777777" w:rsidTr="0053625A">
        <w:trPr>
          <w:cantSplit/>
        </w:trPr>
        <w:tc>
          <w:tcPr>
            <w:tcW w:w="2693" w:type="dxa"/>
            <w:shd w:val="clear" w:color="auto" w:fill="2E74B5" w:themeFill="accent1" w:themeFillShade="BF"/>
          </w:tcPr>
          <w:p w14:paraId="7A8D6FF6" w14:textId="77777777" w:rsidR="006A463F" w:rsidRPr="00844B02" w:rsidRDefault="006A463F" w:rsidP="00743E79">
            <w:pPr>
              <w:pStyle w:val="Templatestyle"/>
              <w:spacing w:before="240" w:after="240"/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</w:pPr>
            <w:r w:rsidRPr="00587991"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  <w:t xml:space="preserve">GROUP </w:t>
            </w:r>
          </w:p>
        </w:tc>
        <w:tc>
          <w:tcPr>
            <w:tcW w:w="3827" w:type="dxa"/>
            <w:shd w:val="clear" w:color="auto" w:fill="2E74B5" w:themeFill="accent1" w:themeFillShade="BF"/>
          </w:tcPr>
          <w:p w14:paraId="1F0D34B1" w14:textId="77777777" w:rsidR="006A463F" w:rsidRPr="00844B02" w:rsidRDefault="006A463F" w:rsidP="00743E79">
            <w:pPr>
              <w:pStyle w:val="Templatestyle"/>
              <w:spacing w:before="240" w:after="240"/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</w:pPr>
            <w:r w:rsidRPr="00587991"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  <w:t>MEMBERS</w:t>
            </w:r>
          </w:p>
        </w:tc>
        <w:tc>
          <w:tcPr>
            <w:tcW w:w="3403" w:type="dxa"/>
            <w:shd w:val="clear" w:color="auto" w:fill="2E74B5" w:themeFill="accent1" w:themeFillShade="BF"/>
          </w:tcPr>
          <w:p w14:paraId="58AB3BBF" w14:textId="77777777" w:rsidR="006A463F" w:rsidRPr="00844B02" w:rsidRDefault="006A463F" w:rsidP="00743E79">
            <w:pPr>
              <w:pStyle w:val="Templatestyle"/>
              <w:spacing w:before="240" w:after="240"/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</w:pPr>
            <w:r w:rsidRPr="00587991">
              <w:rPr>
                <w:rFonts w:ascii="Calibri" w:hAnsi="Calibri" w:cs="Calibri"/>
                <w:b/>
                <w:i w:val="0"/>
                <w:color w:val="FFFFFF" w:themeColor="background1"/>
                <w:szCs w:val="20"/>
              </w:rPr>
              <w:t xml:space="preserve">ROLE </w:t>
            </w:r>
          </w:p>
        </w:tc>
      </w:tr>
      <w:tr w:rsidR="006A463F" w:rsidRPr="00587991" w14:paraId="275212DB" w14:textId="77777777" w:rsidTr="0053625A">
        <w:trPr>
          <w:cantSplit/>
        </w:trPr>
        <w:tc>
          <w:tcPr>
            <w:tcW w:w="2693" w:type="dxa"/>
            <w:shd w:val="clear" w:color="auto" w:fill="auto"/>
          </w:tcPr>
          <w:p w14:paraId="31A94D63" w14:textId="77777777" w:rsidR="006A463F" w:rsidRPr="002F1DED" w:rsidRDefault="008B54FB" w:rsidP="00743E79">
            <w:pPr>
              <w:pStyle w:val="Templatestyle"/>
              <w:spacing w:before="0"/>
              <w:rPr>
                <w:rFonts w:ascii="Calibri" w:hAnsi="Calibri" w:cs="Calibri"/>
                <w:b/>
                <w:i w:val="0"/>
                <w:color w:val="auto"/>
                <w:szCs w:val="20"/>
              </w:rPr>
            </w:pPr>
            <w:r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 xml:space="preserve">Joint </w:t>
            </w:r>
            <w:r w:rsidR="006A463F"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 xml:space="preserve">Governance Group </w:t>
            </w:r>
          </w:p>
          <w:p w14:paraId="470A9998" w14:textId="77777777" w:rsidR="00946612" w:rsidRDefault="00946612" w:rsidP="00743E79">
            <w:pPr>
              <w:pStyle w:val="Templatestyle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</w:p>
          <w:p w14:paraId="7CB332C2" w14:textId="77777777" w:rsidR="00946612" w:rsidRPr="00587991" w:rsidRDefault="00946612" w:rsidP="00743E79">
            <w:pPr>
              <w:pStyle w:val="Templatestyle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792DF8B6" w14:textId="1189B72D" w:rsidR="0053625A" w:rsidRPr="00DB494A" w:rsidRDefault="00B65126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PSA Assistant Secretary</w:t>
            </w:r>
            <w:r w:rsidR="00F07B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/National Sector Lead</w:t>
            </w:r>
          </w:p>
          <w:p w14:paraId="73AB607D" w14:textId="46CF8AD1" w:rsidR="00946612" w:rsidRDefault="00946612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PSA </w:t>
            </w:r>
            <w:r w:rsidR="00F07B4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Organiser</w:t>
            </w:r>
          </w:p>
          <w:p w14:paraId="10A19DB7" w14:textId="303B4B6A" w:rsidR="0053625A" w:rsidRPr="00DB494A" w:rsidRDefault="00946612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PSA Organiser</w:t>
            </w:r>
          </w:p>
          <w:p w14:paraId="232C242A" w14:textId="06FE2D9B" w:rsidR="0053625A" w:rsidRPr="00DB494A" w:rsidRDefault="00F07B45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National Delegate </w:t>
            </w:r>
            <w:r w:rsidR="00D67B9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Co-convenor</w:t>
            </w:r>
            <w:r w:rsidR="005C50A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/s</w:t>
            </w:r>
          </w:p>
          <w:p w14:paraId="6F7418F3" w14:textId="77777777" w:rsidR="0053625A" w:rsidRPr="00DB494A" w:rsidRDefault="0053625A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B49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53EE1D3C" w14:textId="46A1BB62" w:rsidR="0053625A" w:rsidRPr="00DB494A" w:rsidRDefault="0053625A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B49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DCE </w:t>
            </w:r>
            <w:r w:rsidR="008242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Te Whakatairanga – Service Delivery</w:t>
            </w:r>
          </w:p>
          <w:p w14:paraId="70E4637B" w14:textId="0C9745A5" w:rsidR="0053625A" w:rsidRPr="00DB494A" w:rsidRDefault="0005302B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</w:t>
            </w:r>
            <w:r w:rsidR="0053625A" w:rsidRPr="00DB49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CE N</w:t>
            </w:r>
            <w:r w:rsidR="0082428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gā Pou o te Taumaru</w:t>
            </w:r>
          </w:p>
          <w:p w14:paraId="04C959FA" w14:textId="20E95F8B" w:rsidR="0053625A" w:rsidRPr="00DB494A" w:rsidRDefault="006E5BB3" w:rsidP="0053625A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</w:t>
            </w:r>
            <w:r w:rsidR="00A645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A645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="000530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mployment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05302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elations</w:t>
            </w:r>
          </w:p>
          <w:p w14:paraId="3DCF5E7D" w14:textId="54DF93B1" w:rsidR="0053625A" w:rsidRPr="00587991" w:rsidRDefault="006E5BB3" w:rsidP="0091513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</w:t>
            </w:r>
            <w:r w:rsidR="00A645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A645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A6454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emuneration</w:t>
            </w:r>
            <w:r w:rsidR="006169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&amp; Reward</w:t>
            </w:r>
          </w:p>
        </w:tc>
        <w:tc>
          <w:tcPr>
            <w:tcW w:w="3403" w:type="dxa"/>
          </w:tcPr>
          <w:p w14:paraId="5768C0CB" w14:textId="77777777" w:rsidR="00946612" w:rsidRDefault="00DB494A" w:rsidP="00743E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Agree to outcomes recommended by the Working Group</w:t>
            </w:r>
            <w:r w:rsidR="0094661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8B90E59" w14:textId="58332672" w:rsidR="006A463F" w:rsidRDefault="00946612" w:rsidP="00743E7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="00DB494A">
              <w:rPr>
                <w:rFonts w:ascii="Calibri" w:hAnsi="Calibri" w:cs="Calibri"/>
                <w:sz w:val="20"/>
                <w:szCs w:val="20"/>
              </w:rPr>
              <w:t xml:space="preserve">gree any amendments to the CA for formal approval </w:t>
            </w:r>
            <w:proofErr w:type="spellStart"/>
            <w:r w:rsidR="00DB494A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="00DB494A">
              <w:rPr>
                <w:rFonts w:ascii="Calibri" w:hAnsi="Calibri" w:cs="Calibri"/>
                <w:sz w:val="20"/>
                <w:szCs w:val="20"/>
              </w:rPr>
              <w:t xml:space="preserve"> (variations, MOU’s</w:t>
            </w:r>
            <w:r w:rsidR="00485277">
              <w:rPr>
                <w:rFonts w:ascii="Calibri" w:hAnsi="Calibri" w:cs="Calibri"/>
                <w:sz w:val="20"/>
                <w:szCs w:val="20"/>
              </w:rPr>
              <w:t>, Policies</w:t>
            </w:r>
            <w:r w:rsidR="00DB494A">
              <w:rPr>
                <w:rFonts w:ascii="Calibri" w:hAnsi="Calibri" w:cs="Calibri"/>
                <w:sz w:val="20"/>
                <w:szCs w:val="20"/>
              </w:rPr>
              <w:t xml:space="preserve"> etc)</w:t>
            </w:r>
          </w:p>
          <w:p w14:paraId="1E686E09" w14:textId="77777777" w:rsidR="00DB494A" w:rsidRPr="00587991" w:rsidRDefault="00DB494A" w:rsidP="00DB494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Resolve escalations where agreement cannot be reached at the Working Group</w:t>
            </w:r>
            <w:r w:rsidR="00AA0DF4">
              <w:rPr>
                <w:rFonts w:ascii="Calibri" w:hAnsi="Calibri" w:cs="Calibri"/>
                <w:sz w:val="20"/>
                <w:szCs w:val="20"/>
              </w:rPr>
              <w:t xml:space="preserve"> (exceptions basis)</w:t>
            </w:r>
          </w:p>
        </w:tc>
      </w:tr>
      <w:tr w:rsidR="006A463F" w:rsidRPr="00587991" w14:paraId="42AE50C3" w14:textId="77777777" w:rsidTr="0053625A">
        <w:trPr>
          <w:cantSplit/>
        </w:trPr>
        <w:tc>
          <w:tcPr>
            <w:tcW w:w="2693" w:type="dxa"/>
            <w:shd w:val="clear" w:color="auto" w:fill="auto"/>
          </w:tcPr>
          <w:p w14:paraId="12AA2F42" w14:textId="77777777" w:rsidR="006A463F" w:rsidRPr="002F1DED" w:rsidRDefault="00946612" w:rsidP="00743E79">
            <w:pPr>
              <w:pStyle w:val="Templatestyle"/>
              <w:spacing w:before="0"/>
              <w:rPr>
                <w:rFonts w:ascii="Calibri" w:hAnsi="Calibri" w:cs="Calibri"/>
                <w:b/>
                <w:i w:val="0"/>
                <w:color w:val="auto"/>
                <w:szCs w:val="20"/>
              </w:rPr>
            </w:pPr>
            <w:r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lastRenderedPageBreak/>
              <w:t>Working Group</w:t>
            </w:r>
          </w:p>
          <w:p w14:paraId="25E3A655" w14:textId="77777777" w:rsidR="00B65126" w:rsidRDefault="00B65126" w:rsidP="00743E79">
            <w:pPr>
              <w:pStyle w:val="Templatestyle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</w:p>
          <w:p w14:paraId="2970DCED" w14:textId="77777777" w:rsidR="00B65126" w:rsidRPr="00587991" w:rsidRDefault="00B65126" w:rsidP="00743E79">
            <w:pPr>
              <w:pStyle w:val="Templatestyle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2900F4B7" w14:textId="02EEE8DF" w:rsidR="00B65126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PSA </w:t>
            </w:r>
            <w:r w:rsidR="002E72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Organiser</w:t>
            </w:r>
          </w:p>
          <w:p w14:paraId="24B8DE1C" w14:textId="185EF00A" w:rsidR="00B65126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PSA </w:t>
            </w:r>
            <w:r w:rsidR="00DC3A6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Local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Organiser</w:t>
            </w:r>
          </w:p>
          <w:p w14:paraId="632D928A" w14:textId="5282596A" w:rsidR="00B65126" w:rsidRDefault="00A64541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National Delegate </w:t>
            </w:r>
            <w:r w:rsidR="00D67B9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Co-convenors</w:t>
            </w:r>
          </w:p>
          <w:p w14:paraId="76C43567" w14:textId="4DD7D8DD" w:rsidR="00532F9F" w:rsidRPr="00DB494A" w:rsidRDefault="00532F9F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Hinonga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Mangai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Maori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Va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Moana</w:t>
            </w:r>
          </w:p>
          <w:p w14:paraId="2540812C" w14:textId="77777777" w:rsidR="00B65126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36A83127" w14:textId="4145505B" w:rsidR="00B65126" w:rsidRPr="00DB494A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="006169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mployment Relations</w:t>
            </w:r>
          </w:p>
          <w:p w14:paraId="6D727989" w14:textId="70C6FA03" w:rsidR="00B65126" w:rsidRPr="00DB494A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ead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</w:t>
            </w:r>
            <w:r w:rsidR="006169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uneration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&amp;</w:t>
            </w:r>
            <w:r w:rsidR="006169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</w:t>
            </w:r>
            <w:r w:rsidR="00D51BCB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eward</w:t>
            </w:r>
          </w:p>
          <w:p w14:paraId="5BAD6AD6" w14:textId="0DCF8FA3" w:rsidR="00B65126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Princip</w:t>
            </w:r>
            <w:r w:rsidR="00D67B9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 E</w:t>
            </w:r>
            <w:r w:rsidR="006169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mployment Relations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Advisor</w:t>
            </w:r>
          </w:p>
          <w:p w14:paraId="26E88D81" w14:textId="5AE18ED9" w:rsidR="00B65126" w:rsidRDefault="00B65126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Implementation Lead</w:t>
            </w:r>
          </w:p>
          <w:p w14:paraId="428947B5" w14:textId="77777777" w:rsidR="00CD0E3E" w:rsidRDefault="00CD0E3E" w:rsidP="00B65126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TBC – MBIE representative</w:t>
            </w:r>
          </w:p>
          <w:p w14:paraId="2790CD49" w14:textId="77777777" w:rsidR="00B65126" w:rsidRPr="00587991" w:rsidRDefault="00CD0E3E" w:rsidP="00CD0E3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TBC – MBIE representative</w:t>
            </w:r>
          </w:p>
        </w:tc>
        <w:tc>
          <w:tcPr>
            <w:tcW w:w="3403" w:type="dxa"/>
          </w:tcPr>
          <w:p w14:paraId="79203DE3" w14:textId="77777777" w:rsidR="00B65126" w:rsidRDefault="00B65126" w:rsidP="00B651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Work with SME’s and members to ensure their views are represented in the room</w:t>
            </w:r>
          </w:p>
          <w:p w14:paraId="64F31B88" w14:textId="77777777" w:rsidR="00B65126" w:rsidRDefault="00B65126" w:rsidP="00B651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Recommend outcomes to the Governance Group </w:t>
            </w:r>
          </w:p>
          <w:p w14:paraId="5D742A2A" w14:textId="77777777" w:rsidR="00B65126" w:rsidRDefault="00B65126" w:rsidP="00B6512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Agree any amendments to the CEA for formal approval by the Governance Group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(variations, MOU’</w:t>
            </w:r>
            <w:r w:rsidR="00AA0DF4">
              <w:rPr>
                <w:rFonts w:ascii="Calibri" w:hAnsi="Calibri" w:cs="Calibri"/>
                <w:sz w:val="20"/>
                <w:szCs w:val="20"/>
              </w:rPr>
              <w:t xml:space="preserve">s, policies </w:t>
            </w:r>
            <w:r>
              <w:rPr>
                <w:rFonts w:ascii="Calibri" w:hAnsi="Calibri" w:cs="Calibri"/>
                <w:sz w:val="20"/>
                <w:szCs w:val="20"/>
              </w:rPr>
              <w:t>etc)</w:t>
            </w:r>
          </w:p>
          <w:p w14:paraId="4C826D77" w14:textId="77777777" w:rsidR="006A463F" w:rsidRPr="00587991" w:rsidRDefault="006A463F" w:rsidP="00B6512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463F" w:rsidRPr="00587991" w14:paraId="210A43E0" w14:textId="77777777" w:rsidTr="0053625A">
        <w:trPr>
          <w:cantSplit/>
        </w:trPr>
        <w:tc>
          <w:tcPr>
            <w:tcW w:w="2693" w:type="dxa"/>
            <w:shd w:val="clear" w:color="auto" w:fill="auto"/>
          </w:tcPr>
          <w:p w14:paraId="345D1D36" w14:textId="77777777" w:rsidR="006A463F" w:rsidRPr="002F1DED" w:rsidRDefault="006A463F" w:rsidP="00743E79">
            <w:pPr>
              <w:pStyle w:val="Templatestyle"/>
              <w:spacing w:before="0"/>
              <w:rPr>
                <w:rFonts w:ascii="Calibri" w:hAnsi="Calibri" w:cs="Calibri"/>
                <w:b/>
                <w:i w:val="0"/>
                <w:color w:val="auto"/>
                <w:szCs w:val="20"/>
              </w:rPr>
            </w:pPr>
            <w:r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 xml:space="preserve">Resources / </w:t>
            </w:r>
            <w:r w:rsid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>SME/</w:t>
            </w:r>
            <w:r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>Expert Input as required</w:t>
            </w:r>
          </w:p>
        </w:tc>
        <w:tc>
          <w:tcPr>
            <w:tcW w:w="3827" w:type="dxa"/>
            <w:shd w:val="clear" w:color="auto" w:fill="auto"/>
          </w:tcPr>
          <w:p w14:paraId="094D0B7A" w14:textId="4887240A" w:rsidR="00112272" w:rsidRDefault="0011227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1513D">
              <w:rPr>
                <w:rFonts w:ascii="Calibri" w:hAnsi="Calibri" w:cs="Calibri"/>
                <w:sz w:val="20"/>
                <w:szCs w:val="20"/>
              </w:rPr>
              <w:t>PSA Delegate</w:t>
            </w:r>
            <w:r w:rsidR="00A105C9">
              <w:rPr>
                <w:rFonts w:ascii="Calibri" w:hAnsi="Calibri" w:cs="Calibri"/>
                <w:sz w:val="20"/>
                <w:szCs w:val="20"/>
              </w:rPr>
              <w:t>s and Delegate</w:t>
            </w:r>
            <w:r w:rsidRPr="0091513D">
              <w:rPr>
                <w:rFonts w:ascii="Calibri" w:hAnsi="Calibri" w:cs="Calibri"/>
                <w:sz w:val="20"/>
                <w:szCs w:val="20"/>
              </w:rPr>
              <w:t xml:space="preserve"> Groups</w:t>
            </w:r>
            <w:r w:rsidR="00532F9F">
              <w:rPr>
                <w:rFonts w:ascii="Calibri" w:hAnsi="Calibri" w:cs="Calibri"/>
                <w:sz w:val="20"/>
                <w:szCs w:val="20"/>
              </w:rPr>
              <w:t xml:space="preserve"> including </w:t>
            </w:r>
            <w:r w:rsidR="00397311">
              <w:rPr>
                <w:rFonts w:ascii="Calibri" w:hAnsi="Calibri" w:cs="Calibri"/>
                <w:sz w:val="20"/>
                <w:szCs w:val="20"/>
              </w:rPr>
              <w:t>our R</w:t>
            </w:r>
            <w:r w:rsidR="00532F9F">
              <w:rPr>
                <w:rFonts w:ascii="Calibri" w:hAnsi="Calibri" w:cs="Calibri"/>
                <w:sz w:val="20"/>
                <w:szCs w:val="20"/>
              </w:rPr>
              <w:t>unanga and Pasefika delegates</w:t>
            </w:r>
          </w:p>
          <w:p w14:paraId="037E793D" w14:textId="753B7BEC" w:rsidR="00A64541" w:rsidRDefault="00A645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PSA Sector Leads</w:t>
            </w:r>
          </w:p>
          <w:p w14:paraId="0A54B94C" w14:textId="692D2062" w:rsidR="00A64541" w:rsidRPr="0005302B" w:rsidRDefault="00A64541" w:rsidP="00A6454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PSA legal</w:t>
            </w:r>
          </w:p>
          <w:p w14:paraId="723436D0" w14:textId="77777777" w:rsidR="00EB336E" w:rsidRPr="0091513D" w:rsidRDefault="00EB336E" w:rsidP="0091513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1513D">
              <w:rPr>
                <w:rFonts w:ascii="Calibri" w:hAnsi="Calibri" w:cs="Calibri"/>
                <w:sz w:val="20"/>
                <w:szCs w:val="20"/>
              </w:rPr>
              <w:t>I&amp;D Council Hui (representatives)</w:t>
            </w:r>
          </w:p>
          <w:p w14:paraId="5827C412" w14:textId="77777777" w:rsidR="00112272" w:rsidRPr="0091513D" w:rsidRDefault="00112272" w:rsidP="0091513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1513D">
              <w:rPr>
                <w:rFonts w:ascii="Calibri" w:hAnsi="Calibri" w:cs="Calibri"/>
                <w:sz w:val="20"/>
                <w:szCs w:val="20"/>
              </w:rPr>
              <w:t>MBIE Employee Network Groups</w:t>
            </w:r>
          </w:p>
          <w:p w14:paraId="0899BFC8" w14:textId="77777777" w:rsidR="00112272" w:rsidRPr="0091513D" w:rsidRDefault="00112272" w:rsidP="0091513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1513D">
              <w:rPr>
                <w:rFonts w:ascii="Calibri" w:hAnsi="Calibri" w:cs="Calibri"/>
                <w:sz w:val="20"/>
                <w:szCs w:val="20"/>
              </w:rPr>
              <w:t>MBIE Business Representation</w:t>
            </w:r>
          </w:p>
          <w:p w14:paraId="0D5F1BF3" w14:textId="2325D807" w:rsidR="00112272" w:rsidRPr="0091513D" w:rsidRDefault="00112272" w:rsidP="0091513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91513D">
              <w:rPr>
                <w:rFonts w:ascii="Calibri" w:hAnsi="Calibri" w:cs="Calibri"/>
                <w:sz w:val="20"/>
                <w:szCs w:val="20"/>
              </w:rPr>
              <w:t>MBIE P&amp;C Leads (</w:t>
            </w:r>
            <w:proofErr w:type="spellStart"/>
            <w:r w:rsidRPr="0091513D">
              <w:rPr>
                <w:rFonts w:ascii="Calibri" w:hAnsi="Calibri" w:cs="Calibri"/>
                <w:sz w:val="20"/>
                <w:szCs w:val="20"/>
              </w:rPr>
              <w:t>Eg</w:t>
            </w:r>
            <w:proofErr w:type="spellEnd"/>
            <w:r w:rsidRPr="0091513D">
              <w:rPr>
                <w:rFonts w:ascii="Calibri" w:hAnsi="Calibri" w:cs="Calibri"/>
                <w:sz w:val="20"/>
                <w:szCs w:val="20"/>
              </w:rPr>
              <w:t xml:space="preserve"> Organisational Development/Talent Acquisition</w:t>
            </w:r>
            <w:r w:rsidR="0005302B">
              <w:rPr>
                <w:rFonts w:ascii="Calibri" w:hAnsi="Calibri" w:cs="Calibri"/>
                <w:sz w:val="20"/>
                <w:szCs w:val="20"/>
              </w:rPr>
              <w:t>in</w:t>
            </w:r>
            <w:r w:rsidR="00FF2F1C">
              <w:rPr>
                <w:rFonts w:ascii="Calibri" w:hAnsi="Calibri" w:cs="Calibri"/>
                <w:sz w:val="20"/>
                <w:szCs w:val="20"/>
              </w:rPr>
              <w:t>g</w:t>
            </w:r>
            <w:r w:rsidRPr="0091513D">
              <w:rPr>
                <w:rFonts w:ascii="Calibri" w:hAnsi="Calibri" w:cs="Calibri"/>
                <w:sz w:val="20"/>
                <w:szCs w:val="20"/>
              </w:rPr>
              <w:t>/People Services)</w:t>
            </w:r>
          </w:p>
        </w:tc>
        <w:tc>
          <w:tcPr>
            <w:tcW w:w="3403" w:type="dxa"/>
          </w:tcPr>
          <w:p w14:paraId="14BFE6E9" w14:textId="77777777" w:rsidR="006A463F" w:rsidRPr="00587991" w:rsidRDefault="008F731C" w:rsidP="001122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SME and Member advice</w:t>
            </w:r>
            <w:r w:rsidR="00112272">
              <w:rPr>
                <w:rFonts w:ascii="Calibri" w:hAnsi="Calibri" w:cs="Calibri"/>
                <w:sz w:val="20"/>
                <w:szCs w:val="20"/>
              </w:rPr>
              <w:t xml:space="preserve"> and input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12272">
              <w:rPr>
                <w:rFonts w:ascii="Calibri" w:hAnsi="Calibri" w:cs="Calibri"/>
                <w:sz w:val="20"/>
                <w:szCs w:val="20"/>
              </w:rPr>
              <w:t>for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working group</w:t>
            </w:r>
            <w:r w:rsidR="00112272">
              <w:rPr>
                <w:rFonts w:ascii="Calibri" w:hAnsi="Calibri" w:cs="Calibri"/>
                <w:sz w:val="20"/>
                <w:szCs w:val="20"/>
              </w:rPr>
              <w:t xml:space="preserve"> to consider</w:t>
            </w:r>
          </w:p>
        </w:tc>
      </w:tr>
      <w:tr w:rsidR="00085828" w:rsidRPr="00587991" w14:paraId="2C4C7DB9" w14:textId="77777777" w:rsidTr="0053625A">
        <w:trPr>
          <w:cantSplit/>
        </w:trPr>
        <w:tc>
          <w:tcPr>
            <w:tcW w:w="2693" w:type="dxa"/>
            <w:shd w:val="clear" w:color="auto" w:fill="auto"/>
          </w:tcPr>
          <w:p w14:paraId="21DAA9F0" w14:textId="77777777" w:rsidR="00085828" w:rsidRPr="002F1DED" w:rsidRDefault="00085828" w:rsidP="00743E79">
            <w:pPr>
              <w:pStyle w:val="Templatestyle"/>
              <w:spacing w:before="0"/>
              <w:rPr>
                <w:rFonts w:ascii="Calibri" w:hAnsi="Calibri" w:cs="Calibri"/>
                <w:b/>
                <w:i w:val="0"/>
                <w:color w:val="auto"/>
                <w:szCs w:val="20"/>
              </w:rPr>
            </w:pPr>
            <w:r w:rsidRPr="002F1DED">
              <w:rPr>
                <w:rFonts w:ascii="Calibri" w:hAnsi="Calibri" w:cs="Calibri"/>
                <w:b/>
                <w:i w:val="0"/>
                <w:color w:val="auto"/>
                <w:szCs w:val="20"/>
              </w:rPr>
              <w:t>Observers</w:t>
            </w:r>
          </w:p>
        </w:tc>
        <w:tc>
          <w:tcPr>
            <w:tcW w:w="3827" w:type="dxa"/>
            <w:shd w:val="clear" w:color="auto" w:fill="auto"/>
          </w:tcPr>
          <w:p w14:paraId="5A5CFC0D" w14:textId="644A5DD7" w:rsidR="00502C83" w:rsidRPr="00397311" w:rsidRDefault="00397311" w:rsidP="00F3174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TBD on an as needs basis</w:t>
            </w:r>
          </w:p>
          <w:p w14:paraId="6EE06B0B" w14:textId="14B40CD5" w:rsidR="00502C83" w:rsidRPr="00CE3E34" w:rsidRDefault="00502C83" w:rsidP="00F31744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3403" w:type="dxa"/>
          </w:tcPr>
          <w:p w14:paraId="3277783D" w14:textId="77777777" w:rsidR="00085828" w:rsidRDefault="00085828" w:rsidP="0011227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Opportunity to ensure both MBIE employees and PSA delegates are able to sit in the meetings and observe and learn the working group philosophy to ensure future engagement and participation</w:t>
            </w:r>
          </w:p>
        </w:tc>
      </w:tr>
    </w:tbl>
    <w:p w14:paraId="0D7FF994" w14:textId="77777777" w:rsidR="006A463F" w:rsidRPr="00587991" w:rsidRDefault="006A463F" w:rsidP="006A463F">
      <w:pPr>
        <w:spacing w:after="0"/>
        <w:ind w:left="360"/>
        <w:rPr>
          <w:rFonts w:ascii="Calibri" w:hAnsi="Calibri" w:cs="Calibri"/>
          <w:sz w:val="20"/>
          <w:szCs w:val="20"/>
        </w:rPr>
      </w:pPr>
    </w:p>
    <w:p w14:paraId="01964E4E" w14:textId="77777777" w:rsidR="006A463F" w:rsidRDefault="006A463F" w:rsidP="006A463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  <w:r w:rsidRPr="00587991">
        <w:rPr>
          <w:rFonts w:ascii="Calibri" w:hAnsi="Calibri" w:cs="Calibri"/>
          <w:b/>
          <w:bCs/>
          <w:sz w:val="20"/>
          <w:szCs w:val="20"/>
        </w:rPr>
        <w:t>Timeframes/ Meeting Dates</w:t>
      </w:r>
      <w:r w:rsidR="00CE3E34">
        <w:rPr>
          <w:rFonts w:ascii="Calibri" w:hAnsi="Calibri" w:cs="Calibri"/>
          <w:b/>
          <w:bCs/>
          <w:sz w:val="20"/>
          <w:szCs w:val="20"/>
        </w:rPr>
        <w:t>:</w:t>
      </w:r>
    </w:p>
    <w:p w14:paraId="7E46A7E6" w14:textId="77777777" w:rsidR="00CE3E34" w:rsidRPr="00587991" w:rsidRDefault="00CE3E34" w:rsidP="00CE3E34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991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6A463F" w:rsidRPr="00587991" w14:paraId="63509D51" w14:textId="77777777" w:rsidTr="00743E79">
        <w:tc>
          <w:tcPr>
            <w:tcW w:w="3681" w:type="dxa"/>
            <w:shd w:val="clear" w:color="auto" w:fill="2E74B5" w:themeFill="accent1" w:themeFillShade="BF"/>
          </w:tcPr>
          <w:p w14:paraId="77A43124" w14:textId="77777777" w:rsidR="006A463F" w:rsidRPr="00F61AA5" w:rsidRDefault="006A463F" w:rsidP="00743E79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61AA5">
              <w:rPr>
                <w:b/>
                <w:color w:val="FFFFFF" w:themeColor="background1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3118" w:type="dxa"/>
            <w:shd w:val="clear" w:color="auto" w:fill="2E74B5" w:themeFill="accent1" w:themeFillShade="BF"/>
          </w:tcPr>
          <w:p w14:paraId="70FE30EE" w14:textId="77777777" w:rsidR="006A463F" w:rsidRPr="00F61AA5" w:rsidRDefault="006A463F" w:rsidP="00743E79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61AA5">
              <w:rPr>
                <w:b/>
                <w:color w:val="FFFFFF" w:themeColor="background1"/>
                <w:sz w:val="20"/>
                <w:szCs w:val="20"/>
                <w:lang w:eastAsia="en-GB"/>
              </w:rPr>
              <w:t>Frequency</w:t>
            </w:r>
          </w:p>
        </w:tc>
        <w:tc>
          <w:tcPr>
            <w:tcW w:w="3119" w:type="dxa"/>
            <w:shd w:val="clear" w:color="auto" w:fill="2E74B5" w:themeFill="accent1" w:themeFillShade="BF"/>
          </w:tcPr>
          <w:p w14:paraId="62A8083B" w14:textId="77777777" w:rsidR="006A463F" w:rsidRPr="00F61AA5" w:rsidRDefault="006A463F" w:rsidP="00743E79">
            <w:pPr>
              <w:spacing w:before="240"/>
              <w:jc w:val="center"/>
              <w:rPr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F61AA5">
              <w:rPr>
                <w:b/>
                <w:color w:val="FFFFFF" w:themeColor="background1"/>
                <w:sz w:val="20"/>
                <w:szCs w:val="20"/>
                <w:lang w:eastAsia="en-GB"/>
              </w:rPr>
              <w:t>Dates</w:t>
            </w:r>
          </w:p>
        </w:tc>
      </w:tr>
      <w:tr w:rsidR="006A463F" w:rsidRPr="00587991" w14:paraId="0D27D400" w14:textId="77777777" w:rsidTr="00743E79">
        <w:tc>
          <w:tcPr>
            <w:tcW w:w="3681" w:type="dxa"/>
            <w:shd w:val="clear" w:color="auto" w:fill="auto"/>
          </w:tcPr>
          <w:p w14:paraId="26B01D1F" w14:textId="77777777" w:rsidR="0045760E" w:rsidRDefault="0045760E" w:rsidP="00743E79">
            <w:pPr>
              <w:rPr>
                <w:sz w:val="20"/>
                <w:szCs w:val="20"/>
                <w:lang w:eastAsia="en-GB"/>
              </w:rPr>
            </w:pPr>
          </w:p>
          <w:p w14:paraId="4D59E8EE" w14:textId="77777777" w:rsidR="006A463F" w:rsidRPr="00587991" w:rsidRDefault="006A463F" w:rsidP="00743E79">
            <w:pPr>
              <w:rPr>
                <w:sz w:val="20"/>
                <w:szCs w:val="20"/>
                <w:lang w:eastAsia="en-GB"/>
              </w:rPr>
            </w:pPr>
            <w:r w:rsidRPr="00587991">
              <w:rPr>
                <w:sz w:val="20"/>
                <w:szCs w:val="20"/>
                <w:lang w:eastAsia="en-GB"/>
              </w:rPr>
              <w:t>Governance Group Meetings</w:t>
            </w:r>
          </w:p>
        </w:tc>
        <w:tc>
          <w:tcPr>
            <w:tcW w:w="3118" w:type="dxa"/>
            <w:shd w:val="clear" w:color="auto" w:fill="auto"/>
          </w:tcPr>
          <w:p w14:paraId="0D49D4EC" w14:textId="77777777" w:rsidR="0045760E" w:rsidRDefault="0045760E" w:rsidP="00743E79">
            <w:pPr>
              <w:rPr>
                <w:sz w:val="20"/>
                <w:szCs w:val="20"/>
                <w:lang w:eastAsia="en-GB"/>
              </w:rPr>
            </w:pPr>
          </w:p>
          <w:p w14:paraId="647A08C5" w14:textId="77777777" w:rsidR="006A463F" w:rsidRPr="00587991" w:rsidRDefault="0045760E" w:rsidP="00743E79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Monthly</w:t>
            </w:r>
            <w:r w:rsidR="00B05EAB">
              <w:rPr>
                <w:sz w:val="20"/>
                <w:szCs w:val="20"/>
                <w:lang w:eastAsia="en-GB"/>
              </w:rPr>
              <w:t xml:space="preserve"> – 1 hour</w:t>
            </w:r>
          </w:p>
        </w:tc>
        <w:tc>
          <w:tcPr>
            <w:tcW w:w="3119" w:type="dxa"/>
          </w:tcPr>
          <w:p w14:paraId="38AF5FC2" w14:textId="77777777" w:rsidR="006A463F" w:rsidRDefault="006A463F" w:rsidP="00743E79">
            <w:pPr>
              <w:rPr>
                <w:sz w:val="20"/>
                <w:szCs w:val="20"/>
                <w:lang w:eastAsia="en-GB"/>
              </w:rPr>
            </w:pPr>
          </w:p>
          <w:p w14:paraId="3AF9686C" w14:textId="77777777" w:rsidR="0045760E" w:rsidRPr="00587991" w:rsidRDefault="0045760E" w:rsidP="0045760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To be agreed</w:t>
            </w:r>
          </w:p>
        </w:tc>
      </w:tr>
      <w:tr w:rsidR="006A463F" w:rsidRPr="00587991" w14:paraId="59557399" w14:textId="77777777" w:rsidTr="00743E79">
        <w:tc>
          <w:tcPr>
            <w:tcW w:w="3681" w:type="dxa"/>
            <w:shd w:val="clear" w:color="auto" w:fill="auto"/>
          </w:tcPr>
          <w:p w14:paraId="4BFCB288" w14:textId="77777777" w:rsidR="006A463F" w:rsidRPr="00587991" w:rsidRDefault="00D63CA2" w:rsidP="00743E79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Working</w:t>
            </w:r>
            <w:r w:rsidR="006A463F" w:rsidRPr="00587991">
              <w:rPr>
                <w:sz w:val="20"/>
                <w:szCs w:val="20"/>
                <w:lang w:eastAsia="en-GB"/>
              </w:rPr>
              <w:t xml:space="preserve"> Group</w:t>
            </w:r>
          </w:p>
        </w:tc>
        <w:tc>
          <w:tcPr>
            <w:tcW w:w="3118" w:type="dxa"/>
            <w:shd w:val="clear" w:color="auto" w:fill="auto"/>
          </w:tcPr>
          <w:p w14:paraId="3859DD87" w14:textId="77777777" w:rsidR="006A463F" w:rsidRPr="00587991" w:rsidRDefault="0045760E" w:rsidP="00743E79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Fortnightly</w:t>
            </w:r>
            <w:r w:rsidR="00B05EAB">
              <w:rPr>
                <w:sz w:val="20"/>
                <w:szCs w:val="20"/>
                <w:lang w:eastAsia="en-GB"/>
              </w:rPr>
              <w:t xml:space="preserve"> – 2 full days</w:t>
            </w:r>
          </w:p>
        </w:tc>
        <w:tc>
          <w:tcPr>
            <w:tcW w:w="3119" w:type="dxa"/>
          </w:tcPr>
          <w:p w14:paraId="6A9460E0" w14:textId="77777777" w:rsidR="006A463F" w:rsidRPr="00587991" w:rsidRDefault="0045760E" w:rsidP="00743E79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To be agreed</w:t>
            </w:r>
          </w:p>
        </w:tc>
      </w:tr>
    </w:tbl>
    <w:p w14:paraId="3E40A8F2" w14:textId="77777777" w:rsidR="006A463F" w:rsidRPr="00844B02" w:rsidRDefault="006A463F" w:rsidP="006A463F">
      <w:pPr>
        <w:rPr>
          <w:rFonts w:ascii="Calibri" w:eastAsiaTheme="majorEastAsia" w:hAnsi="Calibri" w:cs="Calibri"/>
          <w:b/>
          <w:sz w:val="20"/>
          <w:szCs w:val="20"/>
          <w:u w:val="single"/>
        </w:rPr>
      </w:pPr>
    </w:p>
    <w:p w14:paraId="519E2920" w14:textId="77777777" w:rsidR="00D838EC" w:rsidRDefault="00D838EC" w:rsidP="00A52859">
      <w:pPr>
        <w:pStyle w:val="Heading2"/>
        <w:numPr>
          <w:ilvl w:val="0"/>
          <w:numId w:val="4"/>
        </w:numPr>
        <w:spacing w:before="0" w:after="0"/>
        <w:ind w:left="426"/>
        <w:rPr>
          <w:rFonts w:ascii="Calibri" w:hAnsi="Calibri" w:cs="Calibri"/>
          <w:bCs/>
          <w:sz w:val="20"/>
          <w:szCs w:val="20"/>
        </w:rPr>
      </w:pPr>
      <w:r w:rsidRPr="0083396F">
        <w:rPr>
          <w:rFonts w:ascii="Calibri" w:hAnsi="Calibri" w:cs="Calibri"/>
          <w:bCs/>
          <w:sz w:val="20"/>
          <w:szCs w:val="20"/>
        </w:rPr>
        <w:t>Costs</w:t>
      </w:r>
    </w:p>
    <w:p w14:paraId="3B9C88F7" w14:textId="77777777" w:rsidR="00A52859" w:rsidRPr="00A52859" w:rsidRDefault="00A52859" w:rsidP="00A52859">
      <w:r>
        <w:t>_________________________________________________________________________________________</w:t>
      </w:r>
    </w:p>
    <w:p w14:paraId="7F3F4B7C" w14:textId="77777777" w:rsidR="00D838EC" w:rsidRPr="0083396F" w:rsidRDefault="00D838EC" w:rsidP="00DB2C18">
      <w:pPr>
        <w:spacing w:line="240" w:lineRule="auto"/>
        <w:rPr>
          <w:rFonts w:ascii="Calibri" w:hAnsi="Calibri" w:cs="Calibri"/>
          <w:sz w:val="20"/>
          <w:szCs w:val="20"/>
        </w:rPr>
      </w:pPr>
      <w:r w:rsidRPr="0083396F">
        <w:rPr>
          <w:rFonts w:ascii="Calibri" w:hAnsi="Calibri" w:cs="Calibri"/>
          <w:sz w:val="20"/>
          <w:szCs w:val="20"/>
        </w:rPr>
        <w:t xml:space="preserve">The costs of this project are expected to be absorbed within BAU baselines. </w:t>
      </w:r>
      <w:r w:rsidR="00B05EAB" w:rsidRPr="0083396F">
        <w:rPr>
          <w:rFonts w:ascii="Calibri" w:hAnsi="Calibri" w:cs="Calibri"/>
          <w:sz w:val="20"/>
          <w:szCs w:val="20"/>
        </w:rPr>
        <w:t>Any additional funding for initiatives recommended by the working group will have to go through MBIE approval and delegations processes</w:t>
      </w:r>
    </w:p>
    <w:p w14:paraId="3A3FD97F" w14:textId="77777777" w:rsidR="00D838EC" w:rsidRPr="0083396F" w:rsidRDefault="00D838EC" w:rsidP="00DB2C18">
      <w:pPr>
        <w:spacing w:line="240" w:lineRule="auto"/>
        <w:rPr>
          <w:rFonts w:ascii="Calibri" w:hAnsi="Calibri" w:cs="Calibri"/>
          <w:sz w:val="20"/>
          <w:szCs w:val="20"/>
        </w:rPr>
      </w:pPr>
      <w:r w:rsidRPr="0083396F">
        <w:rPr>
          <w:rFonts w:ascii="Calibri" w:hAnsi="Calibri" w:cs="Calibri"/>
          <w:sz w:val="20"/>
          <w:szCs w:val="20"/>
        </w:rPr>
        <w:t>MBIE will fund the cost of external consultants to provide assistance with best practice and modelling</w:t>
      </w:r>
      <w:r w:rsidR="00B05EAB" w:rsidRPr="0083396F">
        <w:rPr>
          <w:rFonts w:ascii="Calibri" w:hAnsi="Calibri" w:cs="Calibri"/>
          <w:sz w:val="20"/>
          <w:szCs w:val="20"/>
        </w:rPr>
        <w:t xml:space="preserve"> if </w:t>
      </w:r>
      <w:r w:rsidR="00DB2C18" w:rsidRPr="0083396F">
        <w:rPr>
          <w:rFonts w:ascii="Calibri" w:hAnsi="Calibri" w:cs="Calibri"/>
          <w:sz w:val="20"/>
          <w:szCs w:val="20"/>
        </w:rPr>
        <w:t>required</w:t>
      </w:r>
      <w:r w:rsidRPr="0083396F">
        <w:rPr>
          <w:rFonts w:ascii="Calibri" w:hAnsi="Calibri" w:cs="Calibri"/>
          <w:sz w:val="20"/>
          <w:szCs w:val="20"/>
        </w:rPr>
        <w:t xml:space="preserve">. </w:t>
      </w:r>
    </w:p>
    <w:p w14:paraId="3E87A3F2" w14:textId="77777777" w:rsidR="00D838EC" w:rsidRPr="0083396F" w:rsidRDefault="00D838EC" w:rsidP="00DB2C18">
      <w:pPr>
        <w:spacing w:line="240" w:lineRule="auto"/>
        <w:rPr>
          <w:rFonts w:ascii="Calibri" w:hAnsi="Calibri" w:cs="Calibri"/>
          <w:sz w:val="20"/>
          <w:szCs w:val="20"/>
        </w:rPr>
      </w:pPr>
      <w:r w:rsidRPr="0083396F">
        <w:rPr>
          <w:rFonts w:ascii="Calibri" w:hAnsi="Calibri" w:cs="Calibri"/>
          <w:sz w:val="20"/>
          <w:szCs w:val="20"/>
        </w:rPr>
        <w:t>MBIE will fund the paid release and backfill of PSA project team members for the meetings and preparation time on a one-to-one basis with meetings.</w:t>
      </w:r>
    </w:p>
    <w:p w14:paraId="74A94757" w14:textId="77777777" w:rsidR="00D838EC" w:rsidRPr="0083396F" w:rsidRDefault="00D838EC" w:rsidP="00DB2C18">
      <w:pPr>
        <w:spacing w:line="240" w:lineRule="auto"/>
        <w:rPr>
          <w:rFonts w:ascii="Calibri" w:hAnsi="Calibri" w:cs="Calibri"/>
          <w:sz w:val="20"/>
          <w:szCs w:val="20"/>
        </w:rPr>
      </w:pPr>
      <w:r w:rsidRPr="0083396F">
        <w:rPr>
          <w:rFonts w:ascii="Calibri" w:hAnsi="Calibri" w:cs="Calibri"/>
          <w:sz w:val="20"/>
          <w:szCs w:val="20"/>
        </w:rPr>
        <w:lastRenderedPageBreak/>
        <w:t>PSA will fund the participation of PSA officials.</w:t>
      </w:r>
    </w:p>
    <w:p w14:paraId="1D22B8F0" w14:textId="77777777" w:rsidR="00D838EC" w:rsidRPr="0083396F" w:rsidRDefault="00D838EC" w:rsidP="00DB2C18">
      <w:pPr>
        <w:spacing w:line="240" w:lineRule="auto"/>
        <w:rPr>
          <w:rFonts w:ascii="Calibri" w:hAnsi="Calibri" w:cs="Calibri"/>
          <w:sz w:val="20"/>
          <w:szCs w:val="20"/>
        </w:rPr>
      </w:pPr>
      <w:r w:rsidRPr="0083396F">
        <w:rPr>
          <w:rFonts w:ascii="Calibri" w:hAnsi="Calibri" w:cs="Calibri"/>
          <w:sz w:val="20"/>
          <w:szCs w:val="20"/>
        </w:rPr>
        <w:t>MBIE will cover flights, accommodation and expenses for PSA delegates as per Travel policy and Sensitive Expenditure policy.</w:t>
      </w:r>
    </w:p>
    <w:p w14:paraId="581D8B0E" w14:textId="77777777" w:rsidR="00792B99" w:rsidRDefault="00E17A0A"/>
    <w:p w14:paraId="006C76F3" w14:textId="77777777" w:rsidR="0083396F" w:rsidRDefault="0083396F" w:rsidP="00A52859">
      <w:pPr>
        <w:pStyle w:val="ListParagraph"/>
        <w:numPr>
          <w:ilvl w:val="0"/>
          <w:numId w:val="4"/>
        </w:numPr>
        <w:spacing w:after="0"/>
        <w:rPr>
          <w:b/>
        </w:rPr>
      </w:pPr>
      <w:r w:rsidRPr="0083396F">
        <w:rPr>
          <w:b/>
        </w:rPr>
        <w:t>Timing</w:t>
      </w:r>
    </w:p>
    <w:p w14:paraId="5C1BFA1A" w14:textId="77777777" w:rsidR="00A52859" w:rsidRPr="00A52859" w:rsidRDefault="00A52859" w:rsidP="00A52859">
      <w:r>
        <w:t>_________________________________________________________________________________________</w:t>
      </w:r>
    </w:p>
    <w:p w14:paraId="3856AFA2" w14:textId="77777777" w:rsidR="00500238" w:rsidRPr="00A52859" w:rsidRDefault="0083396F">
      <w:pPr>
        <w:rPr>
          <w:rFonts w:ascii="Calibri" w:hAnsi="Calibri" w:cs="Calibri"/>
          <w:sz w:val="20"/>
          <w:szCs w:val="20"/>
        </w:rPr>
      </w:pPr>
      <w:r w:rsidRPr="00A52859">
        <w:rPr>
          <w:rFonts w:ascii="Calibri" w:hAnsi="Calibri" w:cs="Calibri"/>
          <w:sz w:val="20"/>
          <w:szCs w:val="20"/>
        </w:rPr>
        <w:t xml:space="preserve">Timing and prioritisation of the programme of work will be agreed in the working group to ensure contractual obligations, legal requirements and government expectations are met. </w:t>
      </w:r>
    </w:p>
    <w:p w14:paraId="709CA647" w14:textId="77777777" w:rsidR="00CE3E34" w:rsidRDefault="00CE3E3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44A3D61F" w14:textId="77777777" w:rsidR="00CE3E34" w:rsidRPr="00CE3E34" w:rsidRDefault="00CE3E34">
      <w:pPr>
        <w:rPr>
          <w:b/>
        </w:rPr>
      </w:pPr>
      <w:r w:rsidRPr="00CE3E34">
        <w:rPr>
          <w:b/>
        </w:rPr>
        <w:lastRenderedPageBreak/>
        <w:t>APPENDIX</w:t>
      </w:r>
    </w:p>
    <w:p w14:paraId="5C5A457E" w14:textId="77777777" w:rsidR="00500238" w:rsidRDefault="00500238">
      <w:r>
        <w:t xml:space="preserve">Schedule </w:t>
      </w:r>
      <w:r w:rsidR="00CE3E34">
        <w:t>A</w:t>
      </w:r>
      <w:r>
        <w:t>: Career &amp; Pay Progression (CAPP) Review</w:t>
      </w:r>
      <w:r w:rsidR="0083396F">
        <w:t xml:space="preserve"> </w:t>
      </w:r>
      <w:r w:rsidR="0083396F" w:rsidRPr="0083396F">
        <w:rPr>
          <w:color w:val="FF0000"/>
        </w:rPr>
        <w:t>&lt;example – this would need to be completed for all&gt;</w:t>
      </w:r>
    </w:p>
    <w:p w14:paraId="0E28D1A3" w14:textId="77777777" w:rsidR="00500238" w:rsidRDefault="00500238"/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090"/>
        <w:gridCol w:w="3147"/>
      </w:tblGrid>
      <w:tr w:rsidR="00500238" w:rsidRPr="00587991" w14:paraId="702EE398" w14:textId="77777777" w:rsidTr="001A2216">
        <w:tc>
          <w:tcPr>
            <w:tcW w:w="3686" w:type="dxa"/>
            <w:shd w:val="clear" w:color="auto" w:fill="2E74B5" w:themeFill="accent1" w:themeFillShade="BF"/>
          </w:tcPr>
          <w:p w14:paraId="4EFF0C0B" w14:textId="77777777" w:rsidR="00500238" w:rsidRPr="00587991" w:rsidRDefault="00500238" w:rsidP="001A221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8799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 SCOPE</w:t>
            </w:r>
          </w:p>
        </w:tc>
        <w:tc>
          <w:tcPr>
            <w:tcW w:w="3090" w:type="dxa"/>
            <w:shd w:val="clear" w:color="auto" w:fill="2E74B5" w:themeFill="accent1" w:themeFillShade="BF"/>
          </w:tcPr>
          <w:p w14:paraId="297DD3D2" w14:textId="77777777" w:rsidR="00500238" w:rsidRPr="00587991" w:rsidRDefault="00500238" w:rsidP="001A221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8799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OUT OF SCOPE</w:t>
            </w:r>
          </w:p>
        </w:tc>
        <w:tc>
          <w:tcPr>
            <w:tcW w:w="3147" w:type="dxa"/>
            <w:shd w:val="clear" w:color="auto" w:fill="2E74B5" w:themeFill="accent1" w:themeFillShade="BF"/>
          </w:tcPr>
          <w:p w14:paraId="5B33E040" w14:textId="77777777" w:rsidR="00500238" w:rsidRPr="00587991" w:rsidRDefault="00500238" w:rsidP="001A221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587991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500238" w:rsidRPr="00587991" w14:paraId="4E35F3BC" w14:textId="77777777" w:rsidTr="001A2216">
        <w:tc>
          <w:tcPr>
            <w:tcW w:w="3686" w:type="dxa"/>
            <w:shd w:val="clear" w:color="auto" w:fill="auto"/>
          </w:tcPr>
          <w:p w14:paraId="51DE3115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Consideration of expansion of CAPP into other roles</w:t>
            </w:r>
            <w:r w:rsidR="00E61BA7">
              <w:rPr>
                <w:rFonts w:ascii="Calibri" w:hAnsi="Calibri" w:cs="Calibri"/>
                <w:sz w:val="20"/>
                <w:szCs w:val="20"/>
              </w:rPr>
              <w:t xml:space="preserve"> and agree criteria for </w:t>
            </w:r>
            <w:r w:rsidR="00DA51D2">
              <w:rPr>
                <w:rFonts w:ascii="Calibri" w:hAnsi="Calibri" w:cs="Calibri"/>
                <w:sz w:val="20"/>
                <w:szCs w:val="20"/>
              </w:rPr>
              <w:t>expansion</w:t>
            </w:r>
          </w:p>
          <w:p w14:paraId="540DDE00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of relativity of roles on the ladder (substantive and senior)</w:t>
            </w:r>
          </w:p>
          <w:p w14:paraId="330A8B01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Clarify the definition of  “what is a Senior’</w:t>
            </w:r>
          </w:p>
          <w:p w14:paraId="36837982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the “Senior” PD’s for roles in CAPP to ensure consistency across Senior roles and technical capabilities are clarified</w:t>
            </w:r>
          </w:p>
          <w:p w14:paraId="6CD94964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minimum experience requirements</w:t>
            </w:r>
          </w:p>
          <w:p w14:paraId="66E16102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the process and the possibility of integration into existing career development processes (including the number of rounds per year)</w:t>
            </w:r>
          </w:p>
          <w:p w14:paraId="6F538847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the role of the People Leader and the role of the Panel in the process</w:t>
            </w:r>
          </w:p>
          <w:p w14:paraId="72A003FA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Clarify the review process and criteria for review</w:t>
            </w:r>
          </w:p>
          <w:p w14:paraId="7FC57525" w14:textId="77777777" w:rsidR="00500238" w:rsidRDefault="00500238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Consider feedback from Employee network groups and suggestions on how to make the process more inclusive</w:t>
            </w:r>
          </w:p>
          <w:p w14:paraId="552BF8DD" w14:textId="77777777" w:rsidR="00661794" w:rsidRDefault="00306D09" w:rsidP="001A221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661794">
              <w:rPr>
                <w:rFonts w:ascii="Calibri" w:hAnsi="Calibri" w:cs="Calibri"/>
                <w:sz w:val="20"/>
                <w:szCs w:val="20"/>
              </w:rPr>
              <w:t>rogression in small teams</w:t>
            </w:r>
          </w:p>
          <w:p w14:paraId="12F709D5" w14:textId="77777777" w:rsidR="002254CB" w:rsidRPr="00CC62B6" w:rsidRDefault="002254CB" w:rsidP="002254CB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2A40F829" w14:textId="77777777" w:rsidR="00500238" w:rsidRDefault="00500238" w:rsidP="001A2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Roles that currently have seniority integrated into their role (such as Team Leaders &amp; Managers) will not be considered for inclusion in CAPP</w:t>
            </w:r>
          </w:p>
          <w:p w14:paraId="197D1730" w14:textId="77777777" w:rsidR="00500238" w:rsidRDefault="00500238" w:rsidP="001A2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Relativity check is limited to those roles currently part of the agreed list in the CEA</w:t>
            </w:r>
          </w:p>
          <w:p w14:paraId="6EEF3B31" w14:textId="77777777" w:rsidR="00E61BA7" w:rsidRDefault="00E61BA7" w:rsidP="00E61BA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agreement and budget considerations/approval</w:t>
            </w:r>
          </w:p>
          <w:p w14:paraId="6ABEADD3" w14:textId="77777777" w:rsidR="00500238" w:rsidRPr="00587991" w:rsidRDefault="00500238" w:rsidP="002175E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14:paraId="301F6E91" w14:textId="77777777" w:rsidR="00500238" w:rsidRDefault="00500238" w:rsidP="001A22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Senior definition should not overwrite the original design principles, but should add to clarification of this</w:t>
            </w:r>
            <w:r w:rsidR="002175E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0E16E44" w14:textId="77777777" w:rsidR="002175E1" w:rsidRDefault="002175E1" w:rsidP="002175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Being part of CAPP does not automatically result in unlimited progression numbers.  </w:t>
            </w:r>
            <w:r w:rsidR="00E61BA7">
              <w:rPr>
                <w:rFonts w:ascii="Calibri" w:hAnsi="Calibri" w:cs="Calibri"/>
                <w:sz w:val="20"/>
                <w:szCs w:val="20"/>
              </w:rPr>
              <w:t>This must be agreed by the business</w:t>
            </w:r>
          </w:p>
          <w:p w14:paraId="23500C62" w14:textId="77777777" w:rsidR="00E61BA7" w:rsidRDefault="00E61BA7" w:rsidP="002175E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Business agreement and budget considerations</w:t>
            </w:r>
          </w:p>
          <w:p w14:paraId="50F7D1BC" w14:textId="77777777" w:rsidR="002175E1" w:rsidRPr="00587991" w:rsidRDefault="002175E1" w:rsidP="001A22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D4565B" w14:textId="77777777" w:rsidR="00500238" w:rsidRDefault="00500238"/>
    <w:sectPr w:rsidR="00500238" w:rsidSect="00587991">
      <w:pgSz w:w="11906" w:h="16838"/>
      <w:pgMar w:top="85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EF1"/>
    <w:multiLevelType w:val="hybridMultilevel"/>
    <w:tmpl w:val="914821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5849"/>
    <w:multiLevelType w:val="hybridMultilevel"/>
    <w:tmpl w:val="445E2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D5EE9"/>
    <w:multiLevelType w:val="hybridMultilevel"/>
    <w:tmpl w:val="9790036C"/>
    <w:lvl w:ilvl="0" w:tplc="1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90661"/>
    <w:multiLevelType w:val="hybridMultilevel"/>
    <w:tmpl w:val="D14AB2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360BF2"/>
    <w:multiLevelType w:val="hybridMultilevel"/>
    <w:tmpl w:val="81948D18"/>
    <w:lvl w:ilvl="0" w:tplc="2602A3C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F2309"/>
    <w:multiLevelType w:val="hybridMultilevel"/>
    <w:tmpl w:val="6E9A7D86"/>
    <w:lvl w:ilvl="0" w:tplc="1409000F">
      <w:start w:val="1"/>
      <w:numFmt w:val="decimal"/>
      <w:lvlText w:val="%1."/>
      <w:lvlJc w:val="left"/>
      <w:pPr>
        <w:ind w:left="717" w:hanging="360"/>
      </w:pPr>
    </w:lvl>
    <w:lvl w:ilvl="1" w:tplc="14090019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3F"/>
    <w:rsid w:val="00045E67"/>
    <w:rsid w:val="0005302B"/>
    <w:rsid w:val="00085828"/>
    <w:rsid w:val="000867E1"/>
    <w:rsid w:val="000E1830"/>
    <w:rsid w:val="000E46E9"/>
    <w:rsid w:val="00112272"/>
    <w:rsid w:val="00190485"/>
    <w:rsid w:val="002175E1"/>
    <w:rsid w:val="002254CB"/>
    <w:rsid w:val="002E7288"/>
    <w:rsid w:val="002F1DED"/>
    <w:rsid w:val="00301D71"/>
    <w:rsid w:val="00306D09"/>
    <w:rsid w:val="00397311"/>
    <w:rsid w:val="003B312E"/>
    <w:rsid w:val="003B5D19"/>
    <w:rsid w:val="00440E42"/>
    <w:rsid w:val="0045760E"/>
    <w:rsid w:val="00485277"/>
    <w:rsid w:val="004A0766"/>
    <w:rsid w:val="00500238"/>
    <w:rsid w:val="00502C83"/>
    <w:rsid w:val="00532F9F"/>
    <w:rsid w:val="0053625A"/>
    <w:rsid w:val="00580CF5"/>
    <w:rsid w:val="00596C0C"/>
    <w:rsid w:val="005C50A4"/>
    <w:rsid w:val="00616997"/>
    <w:rsid w:val="00661794"/>
    <w:rsid w:val="006A463F"/>
    <w:rsid w:val="006C2E3B"/>
    <w:rsid w:val="006E5BB3"/>
    <w:rsid w:val="00702468"/>
    <w:rsid w:val="007A7C7C"/>
    <w:rsid w:val="00824281"/>
    <w:rsid w:val="0083396F"/>
    <w:rsid w:val="00864CFE"/>
    <w:rsid w:val="008B54FB"/>
    <w:rsid w:val="008F731C"/>
    <w:rsid w:val="0091513D"/>
    <w:rsid w:val="00946612"/>
    <w:rsid w:val="009B22CF"/>
    <w:rsid w:val="00A10520"/>
    <w:rsid w:val="00A105C9"/>
    <w:rsid w:val="00A52859"/>
    <w:rsid w:val="00A64541"/>
    <w:rsid w:val="00A7657C"/>
    <w:rsid w:val="00AA0DF4"/>
    <w:rsid w:val="00AA6BF8"/>
    <w:rsid w:val="00AD33E1"/>
    <w:rsid w:val="00B05EAB"/>
    <w:rsid w:val="00B65126"/>
    <w:rsid w:val="00BF34F4"/>
    <w:rsid w:val="00CC62B6"/>
    <w:rsid w:val="00CD0E3E"/>
    <w:rsid w:val="00CE3E34"/>
    <w:rsid w:val="00D014B5"/>
    <w:rsid w:val="00D411D7"/>
    <w:rsid w:val="00D51BCB"/>
    <w:rsid w:val="00D63CA2"/>
    <w:rsid w:val="00D67B93"/>
    <w:rsid w:val="00D838EC"/>
    <w:rsid w:val="00DA51D2"/>
    <w:rsid w:val="00DB2C18"/>
    <w:rsid w:val="00DB494A"/>
    <w:rsid w:val="00DC0937"/>
    <w:rsid w:val="00DC3A60"/>
    <w:rsid w:val="00DF7251"/>
    <w:rsid w:val="00E17A0A"/>
    <w:rsid w:val="00E61BA7"/>
    <w:rsid w:val="00EB336E"/>
    <w:rsid w:val="00EE404F"/>
    <w:rsid w:val="00F07B45"/>
    <w:rsid w:val="00F31744"/>
    <w:rsid w:val="00FB3AFF"/>
    <w:rsid w:val="00FF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D4E8"/>
  <w15:chartTrackingRefBased/>
  <w15:docId w15:val="{575ECD55-0B26-4279-9659-DA7EE590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63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nhideWhenUsed/>
    <w:qFormat/>
    <w:rsid w:val="00D838EC"/>
    <w:pPr>
      <w:spacing w:before="120" w:after="120" w:line="340" w:lineRule="atLeast"/>
      <w:outlineLvl w:val="1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A463F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63F"/>
    <w:rPr>
      <w:rFonts w:ascii="Calibri" w:eastAsia="Calibri" w:hAnsi="Calibri" w:cs="Times New Roman"/>
      <w:i/>
      <w:iCs/>
      <w:color w:val="5B9BD5"/>
    </w:rPr>
  </w:style>
  <w:style w:type="paragraph" w:customStyle="1" w:styleId="Templatestyle">
    <w:name w:val="Template style"/>
    <w:basedOn w:val="Normal"/>
    <w:link w:val="TemplatestyleChar"/>
    <w:qFormat/>
    <w:rsid w:val="006A463F"/>
    <w:pPr>
      <w:spacing w:before="120" w:after="0" w:line="240" w:lineRule="auto"/>
    </w:pPr>
    <w:rPr>
      <w:rFonts w:ascii="Verdana" w:eastAsia="Calibri" w:hAnsi="Verdana" w:cs="Times New Roman"/>
      <w:i/>
      <w:color w:val="FF0000"/>
      <w:sz w:val="20"/>
    </w:rPr>
  </w:style>
  <w:style w:type="character" w:customStyle="1" w:styleId="TemplatestyleChar">
    <w:name w:val="Template style Char"/>
    <w:link w:val="Templatestyle"/>
    <w:rsid w:val="006A463F"/>
    <w:rPr>
      <w:rFonts w:ascii="Verdana" w:eastAsia="Calibri" w:hAnsi="Verdana" w:cs="Times New Roman"/>
      <w:i/>
      <w:color w:val="FF0000"/>
      <w:sz w:val="20"/>
    </w:rPr>
  </w:style>
  <w:style w:type="paragraph" w:styleId="NormalWeb">
    <w:name w:val="Normal (Web)"/>
    <w:basedOn w:val="Normal"/>
    <w:uiPriority w:val="99"/>
    <w:unhideWhenUsed/>
    <w:rsid w:val="006A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CC62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8EC"/>
    <w:rPr>
      <w:b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D83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8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8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07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D300-E67B-4EAA-BFBF-2A049B38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Business, Innovation &amp; Employment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Cole</dc:creator>
  <cp:keywords/>
  <dc:description/>
  <cp:lastModifiedBy>Diana Te Rata</cp:lastModifiedBy>
  <cp:revision>2</cp:revision>
  <dcterms:created xsi:type="dcterms:W3CDTF">2022-02-10T02:44:00Z</dcterms:created>
  <dcterms:modified xsi:type="dcterms:W3CDTF">2022-02-10T02:44:00Z</dcterms:modified>
</cp:coreProperties>
</file>