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C1F45" w14:textId="6F4AF416" w:rsidR="007945FD" w:rsidRPr="00ED64EE" w:rsidRDefault="007945FD" w:rsidP="00CC1B74">
      <w:pPr>
        <w:pStyle w:val="Heading1"/>
        <w:spacing w:before="120"/>
        <w:rPr>
          <w:color w:val="9C3800" w:themeColor="accent4" w:themeShade="80"/>
        </w:rPr>
      </w:pPr>
      <w:r w:rsidRPr="00ED64EE">
        <w:rPr>
          <w:color w:val="9C3800" w:themeColor="accent4" w:themeShade="80"/>
        </w:rPr>
        <w:t>Fact Sheet: Proposed National Hea</w:t>
      </w:r>
      <w:r w:rsidR="006652D9" w:rsidRPr="00ED64EE">
        <w:rPr>
          <w:color w:val="9C3800" w:themeColor="accent4" w:themeShade="80"/>
        </w:rPr>
        <w:t>l</w:t>
      </w:r>
      <w:r w:rsidRPr="00ED64EE">
        <w:rPr>
          <w:color w:val="9C3800" w:themeColor="accent4" w:themeShade="80"/>
        </w:rPr>
        <w:t xml:space="preserve">th Administration </w:t>
      </w:r>
      <w:r w:rsidR="00CC1B74" w:rsidRPr="00ED64EE">
        <w:rPr>
          <w:color w:val="9C3800" w:themeColor="accent4" w:themeShade="80"/>
        </w:rPr>
        <w:t xml:space="preserve">and Clerical </w:t>
      </w:r>
      <w:r w:rsidRPr="00ED64EE">
        <w:rPr>
          <w:color w:val="9C3800" w:themeColor="accent4" w:themeShade="80"/>
        </w:rPr>
        <w:t>Pay Equity Settlement</w:t>
      </w:r>
    </w:p>
    <w:p w14:paraId="176D1623" w14:textId="79BCF3C8" w:rsidR="00BB07D9" w:rsidRDefault="00BB07D9" w:rsidP="000A2F0F">
      <w:r>
        <w:t xml:space="preserve">This is an outline of the proposed settlement to the </w:t>
      </w:r>
      <w:r w:rsidR="00B31AB0">
        <w:t>Administration and Clerical</w:t>
      </w:r>
      <w:r>
        <w:t xml:space="preserve"> pay equity claim lodged by the NZPSA in 2018.</w:t>
      </w:r>
      <w:r w:rsidR="00101E3F">
        <w:t xml:space="preserve"> </w:t>
      </w:r>
      <w:r>
        <w:t xml:space="preserve">The </w:t>
      </w:r>
      <w:r w:rsidR="00101E3F">
        <w:t xml:space="preserve">full </w:t>
      </w:r>
      <w:r>
        <w:t xml:space="preserve">settlement </w:t>
      </w:r>
      <w:r w:rsidR="00101E3F">
        <w:t xml:space="preserve">agreement will </w:t>
      </w:r>
      <w:r w:rsidR="00FB36A4" w:rsidRPr="00FB36A4">
        <w:t>be circulated before ratification.</w:t>
      </w:r>
    </w:p>
    <w:p w14:paraId="6EAE2939" w14:textId="06FE9536" w:rsidR="00376BA1" w:rsidRDefault="00376BA1" w:rsidP="000A2F0F">
      <w:pPr>
        <w:rPr>
          <w:b/>
          <w:bCs/>
          <w:sz w:val="24"/>
          <w:szCs w:val="24"/>
        </w:rPr>
      </w:pPr>
      <w:r w:rsidRPr="00376BA1">
        <w:rPr>
          <w:b/>
          <w:bCs/>
          <w:sz w:val="24"/>
          <w:szCs w:val="24"/>
        </w:rPr>
        <w:t>Key elements of the settlement</w:t>
      </w:r>
    </w:p>
    <w:p w14:paraId="55E0AA03" w14:textId="77777777" w:rsidR="00ED64EE" w:rsidRPr="00ED64EE" w:rsidRDefault="00ED64EE" w:rsidP="00ED64EE">
      <w:pPr>
        <w:spacing w:after="0" w:line="240" w:lineRule="auto"/>
        <w:rPr>
          <w:rFonts w:eastAsia="Calibri" w:cs="Times New Roman"/>
        </w:rPr>
      </w:pPr>
      <w:r w:rsidRPr="00ED64EE">
        <w:rPr>
          <w:rFonts w:eastAsia="Calibri" w:cs="Times New Roman"/>
        </w:rPr>
        <w:t>The PSA and DHBs worked together to develop a new national pay structure that brings together national pay rates, job bands and a pay step structure. The new pay system provides a standard structure for more than 1500 role titles across 10000 employees in 20 DHBs where there had been a high level of pay variability across locations and between the four regional MECAs.</w:t>
      </w:r>
    </w:p>
    <w:p w14:paraId="26E70BEF" w14:textId="77777777" w:rsidR="00ED64EE" w:rsidRPr="00ED64EE" w:rsidRDefault="00ED64EE" w:rsidP="00ED64EE">
      <w:pPr>
        <w:spacing w:after="0" w:line="240" w:lineRule="auto"/>
        <w:rPr>
          <w:rFonts w:eastAsia="Calibri" w:cs="Times New Roman"/>
        </w:rPr>
      </w:pPr>
    </w:p>
    <w:p w14:paraId="08C1974F" w14:textId="77777777" w:rsidR="00ED64EE" w:rsidRPr="00ED64EE" w:rsidRDefault="00ED64EE" w:rsidP="00ED64EE">
      <w:pPr>
        <w:spacing w:after="0" w:line="240" w:lineRule="auto"/>
        <w:rPr>
          <w:rFonts w:eastAsia="Calibri" w:cs="Times New Roman"/>
        </w:rPr>
      </w:pPr>
    </w:p>
    <w:tbl>
      <w:tblPr>
        <w:tblW w:w="4547" w:type="pct"/>
        <w:tblBorders>
          <w:top w:val="single" w:sz="4" w:space="0" w:color="A3C3EB"/>
          <w:left w:val="single" w:sz="4" w:space="0" w:color="A3C3EB"/>
          <w:bottom w:val="single" w:sz="4" w:space="0" w:color="A3C3EB"/>
          <w:right w:val="single" w:sz="4" w:space="0" w:color="A3C3EB"/>
          <w:insideH w:val="single" w:sz="4" w:space="0" w:color="A3C3EB"/>
          <w:insideV w:val="single" w:sz="4" w:space="0" w:color="A3C3EB"/>
        </w:tblBorders>
        <w:tblLook w:val="04A0" w:firstRow="1" w:lastRow="0" w:firstColumn="1" w:lastColumn="0" w:noHBand="0" w:noVBand="1"/>
      </w:tblPr>
      <w:tblGrid>
        <w:gridCol w:w="1286"/>
        <w:gridCol w:w="7470"/>
      </w:tblGrid>
      <w:tr w:rsidR="00ED64EE" w:rsidRPr="00ED64EE" w14:paraId="62ECD775" w14:textId="77777777" w:rsidTr="00ED64EE">
        <w:trPr>
          <w:trHeight w:val="1852"/>
        </w:trPr>
        <w:tc>
          <w:tcPr>
            <w:tcW w:w="658" w:type="pct"/>
            <w:tcBorders>
              <w:top w:val="single" w:sz="4" w:space="0" w:color="A3C3EB"/>
              <w:left w:val="single" w:sz="4" w:space="0" w:color="A3C3EB"/>
              <w:bottom w:val="single" w:sz="4" w:space="0" w:color="A3C3EB"/>
              <w:right w:val="single" w:sz="4" w:space="0" w:color="A3C3EB"/>
            </w:tcBorders>
            <w:shd w:val="clear" w:color="auto" w:fill="FFFFFF"/>
            <w:vAlign w:val="center"/>
            <w:hideMark/>
          </w:tcPr>
          <w:p w14:paraId="05D6701E" w14:textId="77777777" w:rsidR="00ED64EE" w:rsidRPr="00ED64EE" w:rsidRDefault="00ED64EE" w:rsidP="00ED64EE">
            <w:pPr>
              <w:spacing w:after="0" w:line="240" w:lineRule="auto"/>
              <w:jc w:val="center"/>
              <w:rPr>
                <w:rFonts w:eastAsia="Calibri" w:cs="Calibri"/>
                <w:color w:val="FFFFFF"/>
                <w:sz w:val="20"/>
                <w:szCs w:val="18"/>
              </w:rPr>
            </w:pPr>
            <w:r w:rsidRPr="00ED64EE">
              <w:rPr>
                <w:rFonts w:eastAsia="Calibri" w:cs="Calibri"/>
                <w:noProof/>
                <w:color w:val="FFFFFF"/>
                <w:sz w:val="20"/>
                <w:szCs w:val="18"/>
                <w:lang w:eastAsia="en-NZ"/>
              </w:rPr>
              <w:drawing>
                <wp:inline distT="0" distB="0" distL="0" distR="0" wp14:anchorId="0DCC692E" wp14:editId="276F91C3">
                  <wp:extent cx="615950" cy="488950"/>
                  <wp:effectExtent l="0" t="0" r="0" b="6350"/>
                  <wp:docPr id="13" name="Picture 13"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17767" cy="490392"/>
                          </a:xfrm>
                          <a:prstGeom prst="rect">
                            <a:avLst/>
                          </a:prstGeom>
                        </pic:spPr>
                      </pic:pic>
                    </a:graphicData>
                  </a:graphic>
                </wp:inline>
              </w:drawing>
            </w:r>
          </w:p>
        </w:tc>
        <w:tc>
          <w:tcPr>
            <w:tcW w:w="4342" w:type="pct"/>
            <w:tcBorders>
              <w:top w:val="single" w:sz="4" w:space="0" w:color="A3C3EB"/>
              <w:left w:val="single" w:sz="4" w:space="0" w:color="A3C3EB"/>
              <w:bottom w:val="single" w:sz="4" w:space="0" w:color="A3C3EB"/>
              <w:right w:val="single" w:sz="4" w:space="0" w:color="A3C3EB"/>
            </w:tcBorders>
            <w:vAlign w:val="center"/>
            <w:hideMark/>
          </w:tcPr>
          <w:p w14:paraId="0E97EE24" w14:textId="77777777" w:rsidR="00ED64EE" w:rsidRPr="00ED64EE" w:rsidRDefault="00ED64EE" w:rsidP="00ED64EE">
            <w:pPr>
              <w:spacing w:after="0"/>
              <w:rPr>
                <w:rFonts w:eastAsia="Calibri" w:cs="Times New Roman"/>
                <w:b/>
                <w:color w:val="000000"/>
                <w:sz w:val="20"/>
                <w:szCs w:val="18"/>
              </w:rPr>
            </w:pPr>
            <w:r w:rsidRPr="00ED64EE">
              <w:rPr>
                <w:rFonts w:eastAsia="Calibri" w:cs="Times New Roman"/>
                <w:b/>
                <w:color w:val="000000"/>
                <w:sz w:val="20"/>
                <w:szCs w:val="18"/>
              </w:rPr>
              <w:t>New National Pay Rates</w:t>
            </w:r>
          </w:p>
          <w:p w14:paraId="75979A3D" w14:textId="77777777" w:rsidR="00ED64EE" w:rsidRPr="00ED64EE" w:rsidRDefault="00ED64EE" w:rsidP="00ED64EE">
            <w:pPr>
              <w:spacing w:after="0" w:line="240" w:lineRule="auto"/>
              <w:rPr>
                <w:rFonts w:eastAsia="Calibri" w:cs="Calibri"/>
                <w:sz w:val="20"/>
                <w:szCs w:val="18"/>
              </w:rPr>
            </w:pPr>
            <w:r w:rsidRPr="00ED64EE">
              <w:rPr>
                <w:rFonts w:eastAsia="Calibri" w:cs="Calibri"/>
                <w:sz w:val="20"/>
                <w:szCs w:val="18"/>
              </w:rPr>
              <w:t>DHBs and the PSA have agreed a new National Pay Scale (with bands and steps) for the administration and clerical workforce informed by the evidence gathered by the bipartite pay equity investigation and agreed through bargaining. The new pay system corrects historic sex-based undervaluation of this workforce.</w:t>
            </w:r>
          </w:p>
          <w:p w14:paraId="54051B15" w14:textId="77777777" w:rsidR="00ED64EE" w:rsidRPr="00ED64EE" w:rsidRDefault="00ED64EE" w:rsidP="00ED64EE">
            <w:pPr>
              <w:spacing w:after="0" w:line="240" w:lineRule="auto"/>
              <w:rPr>
                <w:rFonts w:eastAsia="Calibri" w:cs="Calibri"/>
                <w:sz w:val="20"/>
                <w:szCs w:val="18"/>
              </w:rPr>
            </w:pPr>
            <w:r w:rsidRPr="00ED64EE">
              <w:rPr>
                <w:rFonts w:eastAsia="Calibri" w:cs="Calibri"/>
                <w:sz w:val="20"/>
                <w:szCs w:val="18"/>
              </w:rPr>
              <w:t xml:space="preserve">The new pay scale will have an effective date of 1 January 2022. </w:t>
            </w:r>
          </w:p>
        </w:tc>
      </w:tr>
      <w:tr w:rsidR="00ED64EE" w:rsidRPr="00ED64EE" w14:paraId="17B696E0" w14:textId="77777777" w:rsidTr="00ED64EE">
        <w:trPr>
          <w:trHeight w:val="2045"/>
        </w:trPr>
        <w:tc>
          <w:tcPr>
            <w:tcW w:w="658" w:type="pct"/>
            <w:tcBorders>
              <w:top w:val="single" w:sz="4" w:space="0" w:color="A3C3EB"/>
              <w:left w:val="single" w:sz="4" w:space="0" w:color="A3C3EB"/>
              <w:bottom w:val="single" w:sz="4" w:space="0" w:color="A3C3EB"/>
              <w:right w:val="single" w:sz="4" w:space="0" w:color="A3C3EB"/>
            </w:tcBorders>
            <w:shd w:val="clear" w:color="auto" w:fill="FFFFFF"/>
            <w:vAlign w:val="center"/>
            <w:hideMark/>
          </w:tcPr>
          <w:p w14:paraId="331293BF" w14:textId="77777777" w:rsidR="00ED64EE" w:rsidRPr="00ED64EE" w:rsidRDefault="00ED64EE" w:rsidP="00ED64EE">
            <w:pPr>
              <w:spacing w:after="0" w:line="240" w:lineRule="auto"/>
              <w:jc w:val="center"/>
              <w:rPr>
                <w:rFonts w:eastAsia="Calibri" w:cs="Calibri"/>
                <w:color w:val="FFFFFF"/>
                <w:sz w:val="20"/>
                <w:szCs w:val="18"/>
              </w:rPr>
            </w:pPr>
            <w:r w:rsidRPr="00ED64EE">
              <w:rPr>
                <w:rFonts w:eastAsia="Calibri" w:cs="Calibri"/>
                <w:noProof/>
                <w:color w:val="FFFFFF"/>
                <w:sz w:val="20"/>
                <w:szCs w:val="18"/>
                <w:lang w:eastAsia="en-NZ"/>
              </w:rPr>
              <w:drawing>
                <wp:inline distT="0" distB="0" distL="0" distR="0" wp14:anchorId="734963A1" wp14:editId="7E37B479">
                  <wp:extent cx="635000" cy="635000"/>
                  <wp:effectExtent l="0" t="0" r="0" b="0"/>
                  <wp:docPr id="12" name="Picture 12"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36905" cy="636905"/>
                          </a:xfrm>
                          <a:prstGeom prst="rect">
                            <a:avLst/>
                          </a:prstGeom>
                        </pic:spPr>
                      </pic:pic>
                    </a:graphicData>
                  </a:graphic>
                </wp:inline>
              </w:drawing>
            </w:r>
          </w:p>
        </w:tc>
        <w:tc>
          <w:tcPr>
            <w:tcW w:w="4342" w:type="pct"/>
            <w:tcBorders>
              <w:top w:val="single" w:sz="4" w:space="0" w:color="A3C3EB"/>
              <w:left w:val="single" w:sz="4" w:space="0" w:color="A3C3EB"/>
              <w:bottom w:val="single" w:sz="4" w:space="0" w:color="A3C3EB"/>
              <w:right w:val="single" w:sz="4" w:space="0" w:color="A3C3EB"/>
            </w:tcBorders>
            <w:vAlign w:val="center"/>
            <w:hideMark/>
          </w:tcPr>
          <w:p w14:paraId="6ABAE3F8" w14:textId="77777777" w:rsidR="00ED64EE" w:rsidRPr="00ED64EE" w:rsidRDefault="00ED64EE" w:rsidP="00ED64EE">
            <w:pPr>
              <w:spacing w:after="0"/>
              <w:rPr>
                <w:rFonts w:eastAsia="Calibri" w:cs="Times New Roman"/>
                <w:b/>
                <w:color w:val="000000"/>
                <w:sz w:val="20"/>
                <w:szCs w:val="18"/>
              </w:rPr>
            </w:pPr>
            <w:r w:rsidRPr="00ED64EE">
              <w:rPr>
                <w:rFonts w:eastAsia="Calibri" w:cs="Times New Roman"/>
                <w:b/>
                <w:color w:val="000000"/>
                <w:sz w:val="20"/>
                <w:szCs w:val="18"/>
              </w:rPr>
              <w:t>National Role Profiles</w:t>
            </w:r>
          </w:p>
          <w:p w14:paraId="1EC89C47" w14:textId="77777777" w:rsidR="00ED64EE" w:rsidRPr="00ED64EE" w:rsidRDefault="00ED64EE" w:rsidP="00ED64EE">
            <w:pPr>
              <w:spacing w:after="0" w:line="240" w:lineRule="auto"/>
              <w:rPr>
                <w:rFonts w:eastAsia="Calibri" w:cs="Calibri"/>
                <w:sz w:val="20"/>
                <w:szCs w:val="18"/>
              </w:rPr>
            </w:pPr>
            <w:r w:rsidRPr="00ED64EE">
              <w:rPr>
                <w:rFonts w:eastAsia="Calibri" w:cs="Calibri"/>
                <w:sz w:val="20"/>
                <w:szCs w:val="18"/>
              </w:rPr>
              <w:t xml:space="preserve">The </w:t>
            </w:r>
            <w:r w:rsidRPr="00ED64EE">
              <w:rPr>
                <w:rFonts w:eastAsia="Calibri" w:cs="Times New Roman"/>
                <w:b/>
                <w:bCs/>
                <w:sz w:val="20"/>
                <w:szCs w:val="18"/>
              </w:rPr>
              <w:t xml:space="preserve">National Health Administration Workers Role Profiles </w:t>
            </w:r>
            <w:r w:rsidRPr="00ED64EE">
              <w:rPr>
                <w:rFonts w:eastAsia="Calibri" w:cs="Calibri"/>
                <w:sz w:val="20"/>
                <w:szCs w:val="18"/>
              </w:rPr>
              <w:t xml:space="preserve">are a set of generalised description of administration and clerical roles. Their main purpose is to standardise pay rates for like administration roles and those of like value, within and across DHBs. They are not designed to be a perfect fit for every role, but the roles of all DHB employees covered by the claim should be able to be mapped to one of the profiles.  </w:t>
            </w:r>
          </w:p>
          <w:p w14:paraId="11201AF3" w14:textId="77777777" w:rsidR="00ED64EE" w:rsidRPr="00ED64EE" w:rsidRDefault="00ED64EE" w:rsidP="00ED64EE">
            <w:pPr>
              <w:spacing w:after="0" w:line="240" w:lineRule="auto"/>
              <w:rPr>
                <w:rFonts w:eastAsia="Calibri" w:cs="Calibri"/>
                <w:sz w:val="20"/>
                <w:szCs w:val="18"/>
              </w:rPr>
            </w:pPr>
            <w:r w:rsidRPr="00ED64EE">
              <w:rPr>
                <w:rFonts w:eastAsia="Calibri" w:cs="Calibri"/>
                <w:sz w:val="20"/>
                <w:szCs w:val="18"/>
              </w:rPr>
              <w:t xml:space="preserve">Using national role profiles is efficient and transparent.  </w:t>
            </w:r>
          </w:p>
        </w:tc>
      </w:tr>
      <w:tr w:rsidR="00ED64EE" w:rsidRPr="00ED64EE" w14:paraId="56863E51" w14:textId="77777777" w:rsidTr="00ED64EE">
        <w:trPr>
          <w:trHeight w:val="1693"/>
        </w:trPr>
        <w:tc>
          <w:tcPr>
            <w:tcW w:w="658" w:type="pct"/>
            <w:tcBorders>
              <w:top w:val="single" w:sz="4" w:space="0" w:color="A3C3EB"/>
              <w:left w:val="single" w:sz="4" w:space="0" w:color="A3C3EB"/>
              <w:bottom w:val="single" w:sz="4" w:space="0" w:color="A3C3EB"/>
              <w:right w:val="single" w:sz="4" w:space="0" w:color="A3C3EB"/>
            </w:tcBorders>
            <w:shd w:val="clear" w:color="auto" w:fill="FFFFFF"/>
            <w:vAlign w:val="center"/>
            <w:hideMark/>
          </w:tcPr>
          <w:p w14:paraId="52C6C480" w14:textId="77777777" w:rsidR="00ED64EE" w:rsidRPr="00ED64EE" w:rsidRDefault="00ED64EE" w:rsidP="00ED64EE">
            <w:pPr>
              <w:spacing w:after="0" w:line="240" w:lineRule="auto"/>
              <w:jc w:val="center"/>
              <w:rPr>
                <w:rFonts w:eastAsia="Calibri" w:cs="Calibri"/>
                <w:color w:val="FFFFFF"/>
                <w:sz w:val="20"/>
                <w:szCs w:val="18"/>
              </w:rPr>
            </w:pPr>
            <w:r w:rsidRPr="00ED64EE">
              <w:rPr>
                <w:rFonts w:eastAsia="Calibri" w:cs="Calibri"/>
                <w:noProof/>
                <w:color w:val="FFFFFF"/>
                <w:sz w:val="20"/>
                <w:szCs w:val="18"/>
                <w:lang w:eastAsia="en-NZ"/>
              </w:rPr>
              <w:drawing>
                <wp:inline distT="0" distB="0" distL="0" distR="0" wp14:anchorId="06765CF4" wp14:editId="05D8AF25">
                  <wp:extent cx="565150" cy="565150"/>
                  <wp:effectExtent l="0" t="0" r="0" b="6350"/>
                  <wp:docPr id="11" name="Picture 1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low confidence"/>
                          <pic:cNvPicPr/>
                        </pic:nvPicPr>
                        <pic:blipFill>
                          <a:blip r:embed="rId13" cstate="print">
                            <a:duotone>
                              <a:schemeClr val="accent4">
                                <a:shade val="45000"/>
                                <a:satMod val="135000"/>
                              </a:schemeClr>
                              <a:prstClr val="white"/>
                            </a:duotone>
                            <a:extLst>
                              <a:ext uri="{BEBA8EAE-BF5A-486C-A8C5-ECC9F3942E4B}">
                                <a14:imgProps xmlns:a14="http://schemas.microsoft.com/office/drawing/2010/main">
                                  <a14:imgLayer r:embed="rId14">
                                    <a14:imgEffect>
                                      <a14:colorTemperature colorTemp="11190"/>
                                    </a14:imgEffect>
                                  </a14:imgLayer>
                                </a14:imgProps>
                              </a:ext>
                              <a:ext uri="{28A0092B-C50C-407E-A947-70E740481C1C}">
                                <a14:useLocalDpi xmlns:a14="http://schemas.microsoft.com/office/drawing/2010/main" val="0"/>
                              </a:ext>
                            </a:extLst>
                          </a:blip>
                          <a:stretch>
                            <a:fillRect/>
                          </a:stretch>
                        </pic:blipFill>
                        <pic:spPr>
                          <a:xfrm>
                            <a:off x="0" y="0"/>
                            <a:ext cx="567055" cy="567055"/>
                          </a:xfrm>
                          <a:prstGeom prst="rect">
                            <a:avLst/>
                          </a:prstGeom>
                        </pic:spPr>
                      </pic:pic>
                    </a:graphicData>
                  </a:graphic>
                </wp:inline>
              </w:drawing>
            </w:r>
          </w:p>
        </w:tc>
        <w:tc>
          <w:tcPr>
            <w:tcW w:w="4342" w:type="pct"/>
            <w:tcBorders>
              <w:top w:val="single" w:sz="4" w:space="0" w:color="A3C3EB"/>
              <w:left w:val="single" w:sz="4" w:space="0" w:color="A3C3EB"/>
              <w:bottom w:val="single" w:sz="4" w:space="0" w:color="A3C3EB"/>
              <w:right w:val="single" w:sz="4" w:space="0" w:color="A3C3EB"/>
            </w:tcBorders>
            <w:vAlign w:val="center"/>
            <w:hideMark/>
          </w:tcPr>
          <w:p w14:paraId="2E6D3406" w14:textId="77777777" w:rsidR="00ED64EE" w:rsidRPr="00ED64EE" w:rsidRDefault="00ED64EE" w:rsidP="00ED64EE">
            <w:pPr>
              <w:spacing w:after="0"/>
              <w:rPr>
                <w:rFonts w:eastAsia="Calibri" w:cs="Times New Roman"/>
                <w:b/>
                <w:color w:val="000000"/>
                <w:sz w:val="20"/>
                <w:szCs w:val="18"/>
              </w:rPr>
            </w:pPr>
            <w:r w:rsidRPr="00ED64EE">
              <w:rPr>
                <w:rFonts w:eastAsia="Calibri" w:cs="Times New Roman"/>
                <w:b/>
                <w:color w:val="000000"/>
                <w:sz w:val="20"/>
                <w:szCs w:val="18"/>
              </w:rPr>
              <w:t>Lump Sum Payment</w:t>
            </w:r>
          </w:p>
          <w:p w14:paraId="2E7195A2" w14:textId="690FDF10" w:rsidR="00ED64EE" w:rsidRPr="00ED64EE" w:rsidRDefault="00ED64EE" w:rsidP="00ED64EE">
            <w:pPr>
              <w:spacing w:after="0" w:line="240" w:lineRule="auto"/>
              <w:rPr>
                <w:rFonts w:eastAsia="Calibri" w:cs="Calibri"/>
                <w:sz w:val="20"/>
                <w:szCs w:val="18"/>
              </w:rPr>
            </w:pPr>
            <w:r w:rsidRPr="00ED64EE">
              <w:rPr>
                <w:rFonts w:eastAsia="Calibri" w:cs="Calibri"/>
                <w:sz w:val="20"/>
                <w:szCs w:val="18"/>
              </w:rPr>
              <w:t>A $2500 lump sum payment will be made to acknowledge the delay in reaching settlement since the date of the interim pay adjustment of 30 November 2020.</w:t>
            </w:r>
            <w:r w:rsidRPr="00ED64EE">
              <w:rPr>
                <w:rFonts w:eastAsia="Calibri" w:cs="Times New Roman"/>
              </w:rPr>
              <w:t xml:space="preserve"> </w:t>
            </w:r>
            <w:r w:rsidRPr="00ED64EE">
              <w:rPr>
                <w:rFonts w:eastAsia="Calibri" w:cs="Times New Roman"/>
              </w:rPr>
              <w:br/>
            </w:r>
            <w:r w:rsidRPr="00ED64EE">
              <w:rPr>
                <w:rFonts w:eastAsia="Calibri" w:cs="Calibri"/>
                <w:b/>
                <w:bCs/>
                <w:sz w:val="20"/>
                <w:szCs w:val="18"/>
              </w:rPr>
              <w:t>Note:</w:t>
            </w:r>
            <w:r w:rsidRPr="00ED64EE">
              <w:rPr>
                <w:rFonts w:eastAsia="Calibri" w:cs="Calibri"/>
                <w:sz w:val="20"/>
                <w:szCs w:val="18"/>
              </w:rPr>
              <w:t xml:space="preserve"> The interim adjustment of up to $2,500 on base rates was agreed from 30 November </w:t>
            </w:r>
            <w:r w:rsidR="002358E7">
              <w:rPr>
                <w:rFonts w:eastAsia="Calibri" w:cs="Calibri"/>
                <w:sz w:val="20"/>
                <w:szCs w:val="18"/>
              </w:rPr>
              <w:t>2020</w:t>
            </w:r>
            <w:r w:rsidRPr="00ED64EE">
              <w:rPr>
                <w:rFonts w:eastAsia="Calibri" w:cs="Calibri"/>
                <w:sz w:val="20"/>
                <w:szCs w:val="18"/>
              </w:rPr>
              <w:t xml:space="preserve"> as a step towards this settlement in acknowledging the additional work and time needed to create this new national pay structure. </w:t>
            </w:r>
          </w:p>
        </w:tc>
      </w:tr>
      <w:tr w:rsidR="00ED64EE" w:rsidRPr="00ED64EE" w14:paraId="44B84BAC" w14:textId="77777777" w:rsidTr="00ED64EE">
        <w:trPr>
          <w:trHeight w:val="1349"/>
        </w:trPr>
        <w:tc>
          <w:tcPr>
            <w:tcW w:w="658" w:type="pct"/>
            <w:tcBorders>
              <w:top w:val="single" w:sz="4" w:space="0" w:color="A3C3EB"/>
              <w:left w:val="single" w:sz="4" w:space="0" w:color="A3C3EB"/>
              <w:bottom w:val="single" w:sz="4" w:space="0" w:color="A3C3EB"/>
              <w:right w:val="single" w:sz="4" w:space="0" w:color="A3C3EB"/>
            </w:tcBorders>
            <w:shd w:val="clear" w:color="auto" w:fill="FFFFFF"/>
            <w:vAlign w:val="center"/>
            <w:hideMark/>
          </w:tcPr>
          <w:p w14:paraId="77119ACA" w14:textId="77777777" w:rsidR="00ED64EE" w:rsidRPr="00ED64EE" w:rsidRDefault="00ED64EE" w:rsidP="00ED64EE">
            <w:pPr>
              <w:spacing w:after="0" w:line="240" w:lineRule="auto"/>
              <w:jc w:val="center"/>
              <w:rPr>
                <w:rFonts w:eastAsia="Calibri" w:cs="Calibri"/>
                <w:color w:val="FFFFFF"/>
                <w:sz w:val="20"/>
                <w:szCs w:val="18"/>
              </w:rPr>
            </w:pPr>
            <w:r w:rsidRPr="00ED64EE">
              <w:rPr>
                <w:rFonts w:eastAsia="Calibri" w:cs="Calibri"/>
                <w:noProof/>
                <w:color w:val="FFFFFF"/>
                <w:sz w:val="20"/>
                <w:szCs w:val="18"/>
                <w:lang w:eastAsia="en-NZ"/>
              </w:rPr>
              <w:drawing>
                <wp:inline distT="0" distB="0" distL="0" distR="0" wp14:anchorId="64C3E240" wp14:editId="5261637D">
                  <wp:extent cx="641350" cy="641350"/>
                  <wp:effectExtent l="0" t="0" r="0" b="0"/>
                  <wp:docPr id="5" name="Picture 5"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41350" cy="641350"/>
                          </a:xfrm>
                          <a:prstGeom prst="rect">
                            <a:avLst/>
                          </a:prstGeom>
                        </pic:spPr>
                      </pic:pic>
                    </a:graphicData>
                  </a:graphic>
                </wp:inline>
              </w:drawing>
            </w:r>
          </w:p>
        </w:tc>
        <w:tc>
          <w:tcPr>
            <w:tcW w:w="4342" w:type="pct"/>
            <w:tcBorders>
              <w:top w:val="single" w:sz="4" w:space="0" w:color="A3C3EB"/>
              <w:left w:val="single" w:sz="4" w:space="0" w:color="A3C3EB"/>
              <w:bottom w:val="single" w:sz="4" w:space="0" w:color="A3C3EB"/>
              <w:right w:val="single" w:sz="4" w:space="0" w:color="A3C3EB"/>
            </w:tcBorders>
            <w:vAlign w:val="center"/>
            <w:hideMark/>
          </w:tcPr>
          <w:p w14:paraId="796C30C3" w14:textId="77777777" w:rsidR="00ED64EE" w:rsidRPr="00ED64EE" w:rsidRDefault="00ED64EE" w:rsidP="00ED64EE">
            <w:pPr>
              <w:spacing w:after="0"/>
              <w:rPr>
                <w:rFonts w:eastAsia="Calibri" w:cs="Times New Roman"/>
                <w:b/>
                <w:color w:val="000000"/>
                <w:sz w:val="20"/>
                <w:szCs w:val="18"/>
              </w:rPr>
            </w:pPr>
            <w:r w:rsidRPr="00ED64EE">
              <w:rPr>
                <w:rFonts w:eastAsia="Calibri" w:cs="Times New Roman"/>
                <w:b/>
                <w:color w:val="000000"/>
                <w:sz w:val="20"/>
                <w:szCs w:val="18"/>
              </w:rPr>
              <w:t>Simplified Progression</w:t>
            </w:r>
          </w:p>
          <w:p w14:paraId="4697B2EF" w14:textId="77777777" w:rsidR="00ED64EE" w:rsidRPr="00ED64EE" w:rsidRDefault="00ED64EE" w:rsidP="00ED64EE">
            <w:pPr>
              <w:spacing w:after="0" w:line="240" w:lineRule="auto"/>
              <w:rPr>
                <w:rFonts w:eastAsia="Calibri" w:cs="Calibri"/>
                <w:sz w:val="20"/>
                <w:szCs w:val="18"/>
              </w:rPr>
            </w:pPr>
            <w:r w:rsidRPr="00ED64EE">
              <w:rPr>
                <w:rFonts w:eastAsia="Calibri" w:cs="Calibri"/>
                <w:sz w:val="20"/>
                <w:szCs w:val="18"/>
              </w:rPr>
              <w:t>Progression through steps in a band is through automatic yearly progression. Once the new pay structure is implemented administration and clerical staff will continue to progress annually (on the anniversary of their appointment) through the steps within their assigned band.</w:t>
            </w:r>
          </w:p>
        </w:tc>
      </w:tr>
      <w:tr w:rsidR="00ED64EE" w:rsidRPr="00ED64EE" w14:paraId="23BFBF15" w14:textId="77777777" w:rsidTr="00ED64EE">
        <w:tc>
          <w:tcPr>
            <w:tcW w:w="658" w:type="pct"/>
            <w:tcBorders>
              <w:top w:val="single" w:sz="4" w:space="0" w:color="A3C3EB"/>
              <w:left w:val="single" w:sz="4" w:space="0" w:color="A3C3EB"/>
              <w:bottom w:val="single" w:sz="4" w:space="0" w:color="A3C3EB"/>
              <w:right w:val="single" w:sz="4" w:space="0" w:color="A3C3EB"/>
            </w:tcBorders>
            <w:shd w:val="clear" w:color="auto" w:fill="FFFFFF"/>
            <w:vAlign w:val="center"/>
            <w:hideMark/>
          </w:tcPr>
          <w:p w14:paraId="6D3BDEF2" w14:textId="77777777" w:rsidR="00ED64EE" w:rsidRPr="00ED64EE" w:rsidRDefault="00ED64EE" w:rsidP="00ED64EE">
            <w:pPr>
              <w:spacing w:after="0" w:line="240" w:lineRule="auto"/>
              <w:jc w:val="center"/>
              <w:rPr>
                <w:rFonts w:eastAsia="Calibri" w:cs="Calibri"/>
                <w:color w:val="FFFFFF"/>
                <w:sz w:val="20"/>
                <w:szCs w:val="18"/>
              </w:rPr>
            </w:pPr>
            <w:r w:rsidRPr="00ED64EE">
              <w:rPr>
                <w:rFonts w:eastAsia="Calibri" w:cs="Calibri"/>
                <w:noProof/>
                <w:color w:val="FFFFFF"/>
                <w:sz w:val="20"/>
                <w:szCs w:val="18"/>
                <w:lang w:eastAsia="en-NZ"/>
              </w:rPr>
              <w:drawing>
                <wp:inline distT="0" distB="0" distL="0" distR="0" wp14:anchorId="22DA098D" wp14:editId="21AD3965">
                  <wp:extent cx="539750" cy="539750"/>
                  <wp:effectExtent l="0" t="0" r="0" b="0"/>
                  <wp:docPr id="4" name="Picture 4"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low confidence"/>
                          <pic:cNvPicPr/>
                        </pic:nvPicPr>
                        <pic:blipFill>
                          <a:blip r:embed="rId16"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p>
        </w:tc>
        <w:tc>
          <w:tcPr>
            <w:tcW w:w="4342" w:type="pct"/>
            <w:tcBorders>
              <w:top w:val="single" w:sz="4" w:space="0" w:color="A3C3EB"/>
              <w:left w:val="single" w:sz="4" w:space="0" w:color="A3C3EB"/>
              <w:bottom w:val="single" w:sz="4" w:space="0" w:color="A3C3EB"/>
              <w:right w:val="single" w:sz="4" w:space="0" w:color="A3C3EB"/>
            </w:tcBorders>
            <w:vAlign w:val="center"/>
            <w:hideMark/>
          </w:tcPr>
          <w:p w14:paraId="2CE4E579" w14:textId="77777777" w:rsidR="00ED64EE" w:rsidRPr="00ED64EE" w:rsidRDefault="00ED64EE" w:rsidP="00ED64EE">
            <w:pPr>
              <w:spacing w:after="0"/>
              <w:rPr>
                <w:rFonts w:eastAsia="Calibri" w:cs="Times New Roman"/>
                <w:b/>
                <w:color w:val="000000"/>
                <w:sz w:val="20"/>
                <w:szCs w:val="18"/>
              </w:rPr>
            </w:pPr>
            <w:r w:rsidRPr="00ED64EE">
              <w:rPr>
                <w:rFonts w:eastAsia="Calibri" w:cs="Times New Roman"/>
                <w:b/>
                <w:color w:val="000000"/>
                <w:sz w:val="20"/>
                <w:szCs w:val="18"/>
              </w:rPr>
              <w:t>A specialist Framework for Clinical Coders</w:t>
            </w:r>
          </w:p>
          <w:p w14:paraId="64441AA9" w14:textId="77777777" w:rsidR="00ED64EE" w:rsidRPr="00ED64EE" w:rsidRDefault="00ED64EE" w:rsidP="00ED64EE">
            <w:pPr>
              <w:spacing w:after="0" w:line="240" w:lineRule="auto"/>
              <w:rPr>
                <w:rFonts w:eastAsia="Calibri" w:cs="Calibri"/>
                <w:noProof/>
                <w:sz w:val="20"/>
                <w:szCs w:val="18"/>
              </w:rPr>
            </w:pPr>
            <w:r w:rsidRPr="00ED64EE">
              <w:rPr>
                <w:rFonts w:eastAsia="Calibri" w:cs="Calibri"/>
                <w:sz w:val="20"/>
                <w:szCs w:val="18"/>
              </w:rPr>
              <w:t>The work of coders has its own training and qualification framework, so this has been reflected in the pay and progression framework for coders.</w:t>
            </w:r>
          </w:p>
        </w:tc>
      </w:tr>
      <w:tr w:rsidR="00ED64EE" w:rsidRPr="00ED64EE" w14:paraId="0F5BFE95" w14:textId="77777777" w:rsidTr="00ED64EE">
        <w:trPr>
          <w:trHeight w:val="1673"/>
        </w:trPr>
        <w:tc>
          <w:tcPr>
            <w:tcW w:w="658" w:type="pct"/>
            <w:tcBorders>
              <w:top w:val="single" w:sz="4" w:space="0" w:color="A3C3EB"/>
              <w:left w:val="single" w:sz="4" w:space="0" w:color="A3C3EB"/>
              <w:bottom w:val="single" w:sz="4" w:space="0" w:color="A3C3EB"/>
              <w:right w:val="single" w:sz="4" w:space="0" w:color="A3C3EB"/>
            </w:tcBorders>
            <w:shd w:val="clear" w:color="auto" w:fill="FFFFFF"/>
            <w:vAlign w:val="center"/>
            <w:hideMark/>
          </w:tcPr>
          <w:p w14:paraId="0E123B82" w14:textId="77777777" w:rsidR="00ED64EE" w:rsidRPr="00ED64EE" w:rsidRDefault="00ED64EE" w:rsidP="00ED64EE">
            <w:pPr>
              <w:spacing w:after="0" w:line="240" w:lineRule="auto"/>
              <w:jc w:val="center"/>
              <w:rPr>
                <w:rFonts w:eastAsia="Calibri" w:cs="Calibri"/>
                <w:noProof/>
                <w:color w:val="FFFFFF"/>
                <w:sz w:val="20"/>
                <w:szCs w:val="18"/>
                <w:lang w:eastAsia="en-NZ"/>
              </w:rPr>
            </w:pPr>
            <w:r w:rsidRPr="00ED64EE">
              <w:rPr>
                <w:rFonts w:eastAsia="Calibri" w:cs="Times New Roman"/>
                <w:noProof/>
              </w:rPr>
              <w:drawing>
                <wp:inline distT="0" distB="0" distL="0" distR="0" wp14:anchorId="0D7FA2FF" wp14:editId="749CD92A">
                  <wp:extent cx="679450" cy="679450"/>
                  <wp:effectExtent l="0" t="0" r="0" b="0"/>
                  <wp:docPr id="19" name="Picture 19"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square&#10;&#10;Description automatically generated"/>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4342" w:type="pct"/>
            <w:tcBorders>
              <w:top w:val="single" w:sz="4" w:space="0" w:color="A3C3EB"/>
              <w:left w:val="single" w:sz="4" w:space="0" w:color="A3C3EB"/>
              <w:bottom w:val="single" w:sz="4" w:space="0" w:color="A3C3EB"/>
              <w:right w:val="single" w:sz="4" w:space="0" w:color="A3C3EB"/>
            </w:tcBorders>
            <w:vAlign w:val="center"/>
            <w:hideMark/>
          </w:tcPr>
          <w:p w14:paraId="6C81AA83" w14:textId="77777777" w:rsidR="00ED64EE" w:rsidRPr="00ED64EE" w:rsidRDefault="00ED64EE" w:rsidP="00ED64EE">
            <w:pPr>
              <w:spacing w:after="0"/>
              <w:rPr>
                <w:rFonts w:eastAsia="Calibri" w:cs="Times New Roman"/>
                <w:b/>
                <w:color w:val="000000"/>
                <w:sz w:val="20"/>
                <w:szCs w:val="18"/>
              </w:rPr>
            </w:pPr>
            <w:r w:rsidRPr="00ED64EE">
              <w:rPr>
                <w:rFonts w:eastAsia="Calibri" w:cs="Times New Roman"/>
                <w:b/>
                <w:color w:val="000000"/>
                <w:sz w:val="20"/>
                <w:szCs w:val="18"/>
              </w:rPr>
              <w:t>Translation and Appeals</w:t>
            </w:r>
          </w:p>
          <w:p w14:paraId="45775DF3" w14:textId="77777777" w:rsidR="00ED64EE" w:rsidRPr="00ED64EE" w:rsidRDefault="00ED64EE" w:rsidP="00ED64EE">
            <w:pPr>
              <w:spacing w:after="0" w:line="240" w:lineRule="auto"/>
              <w:rPr>
                <w:rFonts w:eastAsia="Calibri" w:cs="Times New Roman"/>
              </w:rPr>
            </w:pPr>
            <w:r w:rsidRPr="00ED64EE">
              <w:rPr>
                <w:rFonts w:eastAsia="Calibri" w:cs="Calibri"/>
                <w:noProof/>
                <w:sz w:val="20"/>
                <w:szCs w:val="20"/>
              </w:rPr>
              <w:t>All existing roles will be mapped to a National Role Profile with an assigned pay band with a number of pay steps. The step you will translate to will be based on time in your current role.</w:t>
            </w:r>
            <w:r w:rsidRPr="00ED64EE">
              <w:rPr>
                <w:rFonts w:eastAsia="Calibri" w:cs="Calibri"/>
                <w:noProof/>
                <w:sz w:val="20"/>
                <w:szCs w:val="20"/>
              </w:rPr>
              <w:br/>
            </w:r>
            <w:r w:rsidRPr="00ED64EE">
              <w:rPr>
                <w:rFonts w:eastAsia="Calibri" w:cs="Times New Roman"/>
                <w:sz w:val="20"/>
                <w:szCs w:val="20"/>
              </w:rPr>
              <w:t>An agreed appeal process is included in the proposed settlement. It will be available once people have been informed of their final mapping and step translation.</w:t>
            </w:r>
          </w:p>
        </w:tc>
      </w:tr>
      <w:tr w:rsidR="00ED64EE" w:rsidRPr="00ED64EE" w14:paraId="309EE09B" w14:textId="77777777" w:rsidTr="00ED64EE">
        <w:trPr>
          <w:trHeight w:val="1203"/>
        </w:trPr>
        <w:tc>
          <w:tcPr>
            <w:tcW w:w="658" w:type="pct"/>
            <w:tcBorders>
              <w:top w:val="single" w:sz="4" w:space="0" w:color="A3C3EB"/>
              <w:left w:val="single" w:sz="4" w:space="0" w:color="A3C3EB"/>
              <w:bottom w:val="single" w:sz="4" w:space="0" w:color="A3C3EB"/>
              <w:right w:val="single" w:sz="4" w:space="0" w:color="A3C3EB"/>
            </w:tcBorders>
            <w:shd w:val="clear" w:color="auto" w:fill="FFFFFF"/>
            <w:vAlign w:val="center"/>
            <w:hideMark/>
          </w:tcPr>
          <w:p w14:paraId="574262A9" w14:textId="77777777" w:rsidR="00ED64EE" w:rsidRPr="00ED64EE" w:rsidRDefault="00ED64EE" w:rsidP="00ED64EE">
            <w:pPr>
              <w:spacing w:after="0" w:line="240" w:lineRule="auto"/>
              <w:jc w:val="center"/>
              <w:rPr>
                <w:rFonts w:eastAsia="Calibri" w:cs="Calibri"/>
                <w:noProof/>
                <w:color w:val="FFFFFF"/>
                <w:sz w:val="20"/>
                <w:szCs w:val="18"/>
                <w:lang w:eastAsia="en-NZ"/>
              </w:rPr>
            </w:pPr>
            <w:r w:rsidRPr="00ED64EE">
              <w:rPr>
                <w:rFonts w:eastAsia="Calibri" w:cs="Calibri"/>
                <w:noProof/>
                <w:color w:val="FFFFFF"/>
                <w:sz w:val="20"/>
                <w:szCs w:val="18"/>
                <w:lang w:eastAsia="en-NZ"/>
              </w:rPr>
              <w:t>New ico</w:t>
            </w:r>
            <w:r w:rsidRPr="00ED64EE">
              <w:rPr>
                <w:rFonts w:eastAsia="Calibri" w:cs="Calibri"/>
                <w:noProof/>
                <w:color w:val="FFFFFF"/>
                <w:sz w:val="20"/>
                <w:szCs w:val="18"/>
                <w:lang w:eastAsia="en-NZ"/>
              </w:rPr>
              <w:drawing>
                <wp:inline distT="0" distB="0" distL="0" distR="0" wp14:anchorId="404419DE" wp14:editId="0FA12BFF">
                  <wp:extent cx="584200" cy="584200"/>
                  <wp:effectExtent l="0" t="0" r="0" b="6350"/>
                  <wp:docPr id="20" name="Picture 2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picture containing shape&#10;&#10;Description automatically generated"/>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r w:rsidRPr="00ED64EE">
              <w:rPr>
                <w:rFonts w:eastAsia="Calibri" w:cs="Calibri"/>
                <w:noProof/>
                <w:color w:val="FFFFFF"/>
                <w:sz w:val="20"/>
                <w:szCs w:val="18"/>
                <w:lang w:eastAsia="en-NZ"/>
              </w:rPr>
              <w:t>n</w:t>
            </w:r>
          </w:p>
        </w:tc>
        <w:tc>
          <w:tcPr>
            <w:tcW w:w="4342" w:type="pct"/>
            <w:tcBorders>
              <w:top w:val="single" w:sz="4" w:space="0" w:color="A3C3EB"/>
              <w:left w:val="single" w:sz="4" w:space="0" w:color="A3C3EB"/>
              <w:bottom w:val="single" w:sz="4" w:space="0" w:color="A3C3EB"/>
              <w:right w:val="single" w:sz="4" w:space="0" w:color="A3C3EB"/>
            </w:tcBorders>
            <w:vAlign w:val="center"/>
            <w:hideMark/>
          </w:tcPr>
          <w:p w14:paraId="28CFC0A4" w14:textId="77777777" w:rsidR="00ED64EE" w:rsidRPr="00ED64EE" w:rsidRDefault="00ED64EE" w:rsidP="00ED64EE">
            <w:pPr>
              <w:spacing w:after="0"/>
              <w:rPr>
                <w:rFonts w:eastAsia="Calibri" w:cs="Times New Roman"/>
                <w:b/>
                <w:color w:val="000000"/>
                <w:sz w:val="20"/>
                <w:szCs w:val="18"/>
              </w:rPr>
            </w:pPr>
            <w:r w:rsidRPr="00ED64EE">
              <w:rPr>
                <w:rFonts w:eastAsia="Calibri" w:cs="Times New Roman"/>
                <w:b/>
                <w:color w:val="000000"/>
                <w:sz w:val="20"/>
                <w:szCs w:val="18"/>
              </w:rPr>
              <w:t>A process to maintain pay equity in the future</w:t>
            </w:r>
          </w:p>
          <w:p w14:paraId="451E25D9" w14:textId="77777777" w:rsidR="00ED64EE" w:rsidRPr="00ED64EE" w:rsidRDefault="00ED64EE" w:rsidP="00ED64EE">
            <w:pPr>
              <w:spacing w:after="0" w:line="240" w:lineRule="auto"/>
              <w:rPr>
                <w:rFonts w:eastAsia="Calibri" w:cs="Calibri"/>
                <w:b/>
                <w:bCs/>
                <w:noProof/>
                <w:sz w:val="20"/>
                <w:szCs w:val="18"/>
              </w:rPr>
            </w:pPr>
            <w:r w:rsidRPr="00ED64EE">
              <w:rPr>
                <w:rFonts w:eastAsia="Calibri" w:cs="Calibri"/>
                <w:sz w:val="20"/>
                <w:szCs w:val="18"/>
              </w:rPr>
              <w:t>The legislation requires DHBs and the PSA to agree how to make sure undervaluation does not occur again in the future. This will be carried out through a joint review process aligned with future collective agreement negotiations for the Health Administration and Clerical workforce.</w:t>
            </w:r>
          </w:p>
        </w:tc>
      </w:tr>
    </w:tbl>
    <w:p w14:paraId="5A1B6DED" w14:textId="77777777" w:rsidR="00ED64EE" w:rsidRPr="00ED64EE" w:rsidRDefault="00ED64EE" w:rsidP="00ED64EE">
      <w:pPr>
        <w:spacing w:after="0" w:line="240" w:lineRule="auto"/>
        <w:rPr>
          <w:rFonts w:eastAsia="Calibri" w:cs="Times New Roman"/>
        </w:rPr>
      </w:pPr>
    </w:p>
    <w:p w14:paraId="69551235" w14:textId="77777777" w:rsidR="00ED64EE" w:rsidRPr="00ED64EE" w:rsidRDefault="00ED64EE" w:rsidP="00ED64EE">
      <w:pPr>
        <w:spacing w:after="0" w:line="240" w:lineRule="auto"/>
        <w:rPr>
          <w:rFonts w:eastAsia="Calibri" w:cs="Times New Roman"/>
        </w:rPr>
      </w:pPr>
    </w:p>
    <w:p w14:paraId="7FA877C8" w14:textId="77777777" w:rsidR="00ED64EE" w:rsidRPr="00ED64EE" w:rsidRDefault="00ED64EE" w:rsidP="00ED64EE">
      <w:pPr>
        <w:spacing w:after="0" w:line="240" w:lineRule="auto"/>
        <w:rPr>
          <w:rFonts w:eastAsia="Calibri" w:cs="Times New Roman"/>
        </w:rPr>
      </w:pPr>
      <w:r w:rsidRPr="00ED64EE">
        <w:rPr>
          <w:rFonts w:eastAsia="Calibri" w:cs="Times New Roman"/>
        </w:rPr>
        <w:t>Before ratification, all those covered by the proposed settlement will be provided with information outlining which National Role Profile they have been mapped to. DHBs and the PSA will also finalise a separate document recording how the new pay structure will operate on an ongoing basis</w:t>
      </w:r>
    </w:p>
    <w:p w14:paraId="7D082F82" w14:textId="77777777" w:rsidR="00ED64EE" w:rsidRPr="00ED64EE" w:rsidRDefault="00ED64EE" w:rsidP="00ED64EE">
      <w:pPr>
        <w:spacing w:after="0" w:line="240" w:lineRule="auto"/>
        <w:rPr>
          <w:rFonts w:eastAsia="Calibri" w:cs="Times New Roman"/>
        </w:rPr>
      </w:pPr>
    </w:p>
    <w:p w14:paraId="10C192E6" w14:textId="77777777" w:rsidR="00ED64EE" w:rsidRPr="00ED64EE" w:rsidRDefault="00ED64EE" w:rsidP="00ED64EE">
      <w:pPr>
        <w:spacing w:after="0" w:line="240" w:lineRule="auto"/>
        <w:rPr>
          <w:rFonts w:eastAsia="Calibri" w:cs="Times New Roman"/>
          <w:b/>
          <w:bCs/>
          <w:sz w:val="24"/>
          <w:szCs w:val="24"/>
        </w:rPr>
      </w:pPr>
    </w:p>
    <w:p w14:paraId="46856667" w14:textId="77777777" w:rsidR="00ED64EE" w:rsidRPr="00ED64EE" w:rsidRDefault="00ED64EE" w:rsidP="00ED64EE">
      <w:pPr>
        <w:pStyle w:val="Heading2"/>
        <w:rPr>
          <w:color w:val="9C3800" w:themeColor="accent4" w:themeShade="80"/>
        </w:rPr>
      </w:pPr>
      <w:r w:rsidRPr="00ED64EE">
        <w:rPr>
          <w:color w:val="9C3800" w:themeColor="accent4" w:themeShade="80"/>
        </w:rPr>
        <w:t>The New Pay Structure</w:t>
      </w:r>
    </w:p>
    <w:p w14:paraId="06B64CD9" w14:textId="77777777" w:rsidR="00ED64EE" w:rsidRDefault="00ED64EE" w:rsidP="00ED64EE">
      <w:r>
        <w:t xml:space="preserve">The PSA and DHBs worked together to develop a new national pay structure that brings together national pay rates, job bands and a pay step structure for administration and clerical workforces. The new pay system provides a standard structure for </w:t>
      </w:r>
      <w:r w:rsidRPr="0079435A">
        <w:t>more than 1500 role titles across 10000 employees in 20 DHBs</w:t>
      </w:r>
      <w:r>
        <w:t xml:space="preserve"> where there had been a high level of pay variability across locations and between the four regional MECAs</w:t>
      </w:r>
      <w:r w:rsidRPr="0079435A">
        <w:t>.</w:t>
      </w:r>
    </w:p>
    <w:p w14:paraId="1AAEC2A1" w14:textId="77777777" w:rsidR="00ED64EE" w:rsidRDefault="00ED64EE" w:rsidP="00ED64EE">
      <w:r>
        <w:t>The new pay structure has an effective date of 1 January 2022.</w:t>
      </w:r>
    </w:p>
    <w:p w14:paraId="3D6D4AE4" w14:textId="77777777" w:rsidR="00ED64EE" w:rsidRPr="00742705" w:rsidRDefault="00ED64EE" w:rsidP="00ED64EE">
      <w:pPr>
        <w:rPr>
          <w:b/>
          <w:bCs/>
          <w:sz w:val="24"/>
          <w:szCs w:val="24"/>
        </w:rPr>
      </w:pPr>
      <w:r w:rsidRPr="00742705">
        <w:rPr>
          <w:b/>
          <w:bCs/>
          <w:sz w:val="24"/>
          <w:szCs w:val="24"/>
        </w:rPr>
        <w:t>Administration and Clerical Pay Scales</w:t>
      </w:r>
    </w:p>
    <w:p w14:paraId="7B8617FF" w14:textId="77777777" w:rsidR="00ED64EE" w:rsidRPr="00ED64EE" w:rsidRDefault="00ED64EE" w:rsidP="00ED64EE">
      <w:pPr>
        <w:spacing w:after="0" w:line="240" w:lineRule="auto"/>
        <w:rPr>
          <w:rFonts w:eastAsia="Calibri" w:cs="Times New Roman"/>
          <w:b/>
          <w:bCs/>
          <w:sz w:val="24"/>
          <w:szCs w:val="24"/>
        </w:rPr>
      </w:pPr>
    </w:p>
    <w:tbl>
      <w:tblPr>
        <w:tblStyle w:val="TASGreen1"/>
        <w:tblW w:w="9356" w:type="dxa"/>
        <w:tblLook w:val="04A0" w:firstRow="1" w:lastRow="0" w:firstColumn="1" w:lastColumn="0" w:noHBand="0" w:noVBand="1"/>
      </w:tblPr>
      <w:tblGrid>
        <w:gridCol w:w="853"/>
        <w:gridCol w:w="1176"/>
        <w:gridCol w:w="1003"/>
        <w:gridCol w:w="892"/>
        <w:gridCol w:w="892"/>
        <w:gridCol w:w="908"/>
        <w:gridCol w:w="908"/>
        <w:gridCol w:w="908"/>
        <w:gridCol w:w="908"/>
        <w:gridCol w:w="908"/>
      </w:tblGrid>
      <w:tr w:rsidR="00ED64EE" w:rsidRPr="00ED64EE" w14:paraId="396549FE" w14:textId="77777777" w:rsidTr="00ED64EE">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9356" w:type="dxa"/>
            <w:gridSpan w:val="10"/>
            <w:vAlign w:val="center"/>
            <w:hideMark/>
          </w:tcPr>
          <w:p w14:paraId="625386BF" w14:textId="77777777" w:rsidR="00ED64EE" w:rsidRPr="00ED64EE" w:rsidRDefault="00ED64EE" w:rsidP="00ED64EE">
            <w:pPr>
              <w:spacing w:line="252" w:lineRule="auto"/>
              <w:rPr>
                <w:rFonts w:ascii="Source Sans Pro" w:eastAsia="Calibri" w:hAnsi="Source Sans Pro" w:cs="Calibri"/>
              </w:rPr>
            </w:pPr>
            <w:r w:rsidRPr="00ED64EE">
              <w:rPr>
                <w:rFonts w:ascii="Source Sans Pro" w:eastAsia="Calibri" w:hAnsi="Source Sans Pro" w:cs="Calibri"/>
                <w:lang w:val="en-US"/>
              </w:rPr>
              <w:t xml:space="preserve">Administration And Clerical Pay Equity Rates </w:t>
            </w:r>
            <w:r w:rsidRPr="00ED64EE">
              <w:rPr>
                <w:rFonts w:ascii="Source Sans Pro" w:eastAsia="Calibri" w:hAnsi="Source Sans Pro" w:cs="Calibri"/>
              </w:rPr>
              <w:t> </w:t>
            </w:r>
          </w:p>
        </w:tc>
      </w:tr>
      <w:tr w:rsidR="00ED64EE" w:rsidRPr="00ED64EE" w14:paraId="1979B206" w14:textId="77777777" w:rsidTr="00ED64EE">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853" w:type="dxa"/>
            <w:hideMark/>
          </w:tcPr>
          <w:p w14:paraId="7DD471BB" w14:textId="77777777" w:rsidR="00ED64EE" w:rsidRPr="00ED64EE" w:rsidRDefault="00ED64EE" w:rsidP="00ED64EE">
            <w:pPr>
              <w:spacing w:line="252" w:lineRule="auto"/>
              <w:jc w:val="both"/>
              <w:rPr>
                <w:rFonts w:ascii="Source Sans Pro" w:eastAsia="Calibri" w:hAnsi="Source Sans Pro" w:cs="Calibri"/>
              </w:rPr>
            </w:pPr>
            <w:r w:rsidRPr="00ED64EE">
              <w:rPr>
                <w:rFonts w:ascii="Source Sans Pro" w:eastAsia="Calibri" w:hAnsi="Source Sans Pro" w:cs="Calibri"/>
                <w:color w:val="000000"/>
              </w:rPr>
              <w:t>Band</w:t>
            </w:r>
          </w:p>
        </w:tc>
        <w:tc>
          <w:tcPr>
            <w:tcW w:w="1176" w:type="dxa"/>
            <w:hideMark/>
          </w:tcPr>
          <w:p w14:paraId="5A1C18AE" w14:textId="77777777" w:rsidR="00ED64EE" w:rsidRPr="00ED64EE" w:rsidRDefault="00ED64EE" w:rsidP="00ED64EE">
            <w:pPr>
              <w:spacing w:line="252" w:lineRule="auto"/>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b/>
                <w:bCs/>
                <w:color w:val="000000"/>
              </w:rPr>
              <w:t>Maximum Rate</w:t>
            </w:r>
          </w:p>
        </w:tc>
        <w:tc>
          <w:tcPr>
            <w:tcW w:w="1003" w:type="dxa"/>
            <w:hideMark/>
          </w:tcPr>
          <w:p w14:paraId="02EBADE5" w14:textId="77777777" w:rsidR="00ED64EE" w:rsidRPr="00ED64EE" w:rsidRDefault="00ED64EE" w:rsidP="00ED64EE">
            <w:pPr>
              <w:spacing w:line="252" w:lineRule="auto"/>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b/>
                <w:bCs/>
                <w:color w:val="000000"/>
              </w:rPr>
              <w:t>Number of steps</w:t>
            </w:r>
          </w:p>
        </w:tc>
        <w:tc>
          <w:tcPr>
            <w:tcW w:w="892" w:type="dxa"/>
            <w:hideMark/>
          </w:tcPr>
          <w:p w14:paraId="267AE623" w14:textId="77777777" w:rsidR="00ED64EE" w:rsidRPr="00ED64EE" w:rsidRDefault="00ED64EE" w:rsidP="00ED64EE">
            <w:pPr>
              <w:spacing w:line="252" w:lineRule="auto"/>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b/>
                <w:bCs/>
                <w:color w:val="000000"/>
              </w:rPr>
              <w:t>Step 1</w:t>
            </w:r>
          </w:p>
        </w:tc>
        <w:tc>
          <w:tcPr>
            <w:tcW w:w="892" w:type="dxa"/>
            <w:hideMark/>
          </w:tcPr>
          <w:p w14:paraId="53DB8C2E" w14:textId="77777777" w:rsidR="00ED64EE" w:rsidRPr="00ED64EE" w:rsidRDefault="00ED64EE" w:rsidP="00ED64EE">
            <w:pPr>
              <w:spacing w:line="252" w:lineRule="auto"/>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b/>
                <w:bCs/>
                <w:color w:val="000000"/>
              </w:rPr>
              <w:t>Step 2</w:t>
            </w:r>
          </w:p>
        </w:tc>
        <w:tc>
          <w:tcPr>
            <w:tcW w:w="908" w:type="dxa"/>
            <w:hideMark/>
          </w:tcPr>
          <w:p w14:paraId="289DABC9" w14:textId="77777777" w:rsidR="00ED64EE" w:rsidRPr="00ED64EE" w:rsidRDefault="00ED64EE" w:rsidP="00ED64EE">
            <w:pPr>
              <w:spacing w:line="252" w:lineRule="auto"/>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b/>
                <w:bCs/>
                <w:color w:val="000000"/>
              </w:rPr>
              <w:t>Step 3</w:t>
            </w:r>
          </w:p>
        </w:tc>
        <w:tc>
          <w:tcPr>
            <w:tcW w:w="908" w:type="dxa"/>
            <w:hideMark/>
          </w:tcPr>
          <w:p w14:paraId="43D40726" w14:textId="77777777" w:rsidR="00ED64EE" w:rsidRPr="00ED64EE" w:rsidRDefault="00ED64EE" w:rsidP="00ED64EE">
            <w:pPr>
              <w:spacing w:line="252" w:lineRule="auto"/>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b/>
                <w:bCs/>
                <w:color w:val="000000"/>
              </w:rPr>
              <w:t>Step 4</w:t>
            </w:r>
          </w:p>
        </w:tc>
        <w:tc>
          <w:tcPr>
            <w:tcW w:w="908" w:type="dxa"/>
            <w:hideMark/>
          </w:tcPr>
          <w:p w14:paraId="3823216F" w14:textId="77777777" w:rsidR="00ED64EE" w:rsidRPr="00ED64EE" w:rsidRDefault="00ED64EE" w:rsidP="00ED64EE">
            <w:pPr>
              <w:spacing w:line="252" w:lineRule="auto"/>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b/>
                <w:bCs/>
                <w:color w:val="000000"/>
              </w:rPr>
              <w:t>Step 5</w:t>
            </w:r>
          </w:p>
        </w:tc>
        <w:tc>
          <w:tcPr>
            <w:tcW w:w="908" w:type="dxa"/>
            <w:hideMark/>
          </w:tcPr>
          <w:p w14:paraId="36C676FE" w14:textId="77777777" w:rsidR="00ED64EE" w:rsidRPr="00ED64EE" w:rsidRDefault="00ED64EE" w:rsidP="00ED64EE">
            <w:pPr>
              <w:spacing w:line="252" w:lineRule="auto"/>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b/>
                <w:bCs/>
                <w:color w:val="000000"/>
              </w:rPr>
              <w:t>Step 6</w:t>
            </w:r>
          </w:p>
        </w:tc>
        <w:tc>
          <w:tcPr>
            <w:tcW w:w="908" w:type="dxa"/>
            <w:hideMark/>
          </w:tcPr>
          <w:p w14:paraId="76CFB5AD" w14:textId="77777777" w:rsidR="00ED64EE" w:rsidRPr="00ED64EE" w:rsidRDefault="00ED64EE" w:rsidP="00ED64EE">
            <w:pPr>
              <w:spacing w:line="252" w:lineRule="auto"/>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b/>
                <w:bCs/>
                <w:color w:val="000000"/>
              </w:rPr>
              <w:t>Step 7</w:t>
            </w:r>
          </w:p>
        </w:tc>
      </w:tr>
      <w:tr w:rsidR="00ED64EE" w:rsidRPr="00ED64EE" w14:paraId="38BE03A4" w14:textId="77777777" w:rsidTr="009C00DE">
        <w:trPr>
          <w:trHeight w:val="433"/>
        </w:trPr>
        <w:tc>
          <w:tcPr>
            <w:cnfStyle w:val="001000000000" w:firstRow="0" w:lastRow="0" w:firstColumn="1" w:lastColumn="0" w:oddVBand="0" w:evenVBand="0" w:oddHBand="0" w:evenHBand="0" w:firstRowFirstColumn="0" w:firstRowLastColumn="0" w:lastRowFirstColumn="0" w:lastRowLastColumn="0"/>
            <w:tcW w:w="853" w:type="dxa"/>
            <w:hideMark/>
          </w:tcPr>
          <w:p w14:paraId="6CAF538A" w14:textId="77777777" w:rsidR="00ED64EE" w:rsidRPr="00ED64EE" w:rsidRDefault="00ED64EE" w:rsidP="00ED64EE">
            <w:pPr>
              <w:spacing w:line="252" w:lineRule="auto"/>
              <w:jc w:val="both"/>
              <w:rPr>
                <w:rFonts w:ascii="Source Sans Pro" w:eastAsia="Calibri" w:hAnsi="Source Sans Pro" w:cs="Calibri"/>
              </w:rPr>
            </w:pPr>
            <w:r w:rsidRPr="00ED64EE">
              <w:rPr>
                <w:rFonts w:ascii="Source Sans Pro" w:eastAsia="Calibri" w:hAnsi="Source Sans Pro" w:cs="Calibri"/>
                <w:color w:val="000000"/>
              </w:rPr>
              <w:t>Band 7</w:t>
            </w:r>
          </w:p>
        </w:tc>
        <w:tc>
          <w:tcPr>
            <w:tcW w:w="1176" w:type="dxa"/>
            <w:hideMark/>
          </w:tcPr>
          <w:p w14:paraId="1D24BA4A" w14:textId="77777777" w:rsidR="00ED64EE" w:rsidRPr="00ED64EE" w:rsidRDefault="00ED64EE" w:rsidP="00ED64EE">
            <w:pPr>
              <w:spacing w:line="252" w:lineRule="auto"/>
              <w:jc w:val="center"/>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b/>
                <w:bCs/>
                <w:color w:val="000000"/>
              </w:rPr>
              <w:t>86,700</w:t>
            </w:r>
          </w:p>
        </w:tc>
        <w:tc>
          <w:tcPr>
            <w:tcW w:w="1003" w:type="dxa"/>
            <w:hideMark/>
          </w:tcPr>
          <w:p w14:paraId="250B64C1" w14:textId="77777777" w:rsidR="00ED64EE" w:rsidRPr="00ED64EE" w:rsidRDefault="00ED64EE" w:rsidP="00ED64EE">
            <w:pPr>
              <w:spacing w:line="252" w:lineRule="auto"/>
              <w:jc w:val="center"/>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b/>
                <w:bCs/>
                <w:color w:val="000000"/>
              </w:rPr>
              <w:t>7</w:t>
            </w:r>
          </w:p>
        </w:tc>
        <w:tc>
          <w:tcPr>
            <w:tcW w:w="892" w:type="dxa"/>
            <w:hideMark/>
          </w:tcPr>
          <w:p w14:paraId="4124F89C" w14:textId="77777777" w:rsidR="00ED64EE" w:rsidRPr="00ED64EE" w:rsidRDefault="00ED64EE" w:rsidP="00ED64EE">
            <w:pPr>
              <w:spacing w:line="252" w:lineRule="auto"/>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color w:val="000000"/>
              </w:rPr>
              <w:t>73,695</w:t>
            </w:r>
          </w:p>
        </w:tc>
        <w:tc>
          <w:tcPr>
            <w:tcW w:w="892" w:type="dxa"/>
            <w:hideMark/>
          </w:tcPr>
          <w:p w14:paraId="426250DD" w14:textId="77777777" w:rsidR="00ED64EE" w:rsidRPr="00ED64EE" w:rsidRDefault="00ED64EE" w:rsidP="00ED64EE">
            <w:pPr>
              <w:spacing w:line="252" w:lineRule="auto"/>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color w:val="000000"/>
              </w:rPr>
              <w:t>75,863</w:t>
            </w:r>
          </w:p>
        </w:tc>
        <w:tc>
          <w:tcPr>
            <w:tcW w:w="908" w:type="dxa"/>
            <w:hideMark/>
          </w:tcPr>
          <w:p w14:paraId="50C5001B" w14:textId="77777777" w:rsidR="00ED64EE" w:rsidRPr="00ED64EE" w:rsidRDefault="00ED64EE" w:rsidP="00ED64EE">
            <w:pPr>
              <w:spacing w:line="252" w:lineRule="auto"/>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color w:val="000000"/>
              </w:rPr>
              <w:t>78,030</w:t>
            </w:r>
          </w:p>
        </w:tc>
        <w:tc>
          <w:tcPr>
            <w:tcW w:w="908" w:type="dxa"/>
            <w:hideMark/>
          </w:tcPr>
          <w:p w14:paraId="30A1F323" w14:textId="77777777" w:rsidR="00ED64EE" w:rsidRPr="00ED64EE" w:rsidRDefault="00ED64EE" w:rsidP="00ED64EE">
            <w:pPr>
              <w:spacing w:line="252" w:lineRule="auto"/>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color w:val="000000"/>
              </w:rPr>
              <w:t>80,198</w:t>
            </w:r>
          </w:p>
        </w:tc>
        <w:tc>
          <w:tcPr>
            <w:tcW w:w="908" w:type="dxa"/>
            <w:hideMark/>
          </w:tcPr>
          <w:p w14:paraId="4FF94BB2" w14:textId="77777777" w:rsidR="00ED64EE" w:rsidRPr="00ED64EE" w:rsidRDefault="00ED64EE" w:rsidP="00ED64EE">
            <w:pPr>
              <w:spacing w:line="252" w:lineRule="auto"/>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color w:val="000000"/>
              </w:rPr>
              <w:t>82,365</w:t>
            </w:r>
          </w:p>
        </w:tc>
        <w:tc>
          <w:tcPr>
            <w:tcW w:w="908" w:type="dxa"/>
            <w:hideMark/>
          </w:tcPr>
          <w:p w14:paraId="29D9DE88" w14:textId="77777777" w:rsidR="00ED64EE" w:rsidRPr="00ED64EE" w:rsidRDefault="00ED64EE" w:rsidP="00ED64EE">
            <w:pPr>
              <w:spacing w:line="252" w:lineRule="auto"/>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color w:val="000000"/>
              </w:rPr>
              <w:t>84,533</w:t>
            </w:r>
          </w:p>
        </w:tc>
        <w:tc>
          <w:tcPr>
            <w:tcW w:w="908" w:type="dxa"/>
            <w:hideMark/>
          </w:tcPr>
          <w:p w14:paraId="263ACC58" w14:textId="77777777" w:rsidR="00ED64EE" w:rsidRPr="00ED64EE" w:rsidRDefault="00ED64EE" w:rsidP="00ED64EE">
            <w:pPr>
              <w:spacing w:line="252" w:lineRule="auto"/>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b/>
                <w:bCs/>
              </w:rPr>
              <w:t>86,700</w:t>
            </w:r>
          </w:p>
        </w:tc>
      </w:tr>
      <w:tr w:rsidR="00ED64EE" w:rsidRPr="00ED64EE" w14:paraId="5F07C48A" w14:textId="77777777" w:rsidTr="00ED64EE">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853" w:type="dxa"/>
            <w:hideMark/>
          </w:tcPr>
          <w:p w14:paraId="6C9E82D7" w14:textId="77777777" w:rsidR="00ED64EE" w:rsidRPr="00ED64EE" w:rsidRDefault="00ED64EE" w:rsidP="00ED64EE">
            <w:pPr>
              <w:spacing w:line="252" w:lineRule="auto"/>
              <w:jc w:val="both"/>
              <w:rPr>
                <w:rFonts w:ascii="Source Sans Pro" w:eastAsia="Calibri" w:hAnsi="Source Sans Pro" w:cs="Calibri"/>
              </w:rPr>
            </w:pPr>
            <w:r w:rsidRPr="00ED64EE">
              <w:rPr>
                <w:rFonts w:ascii="Source Sans Pro" w:eastAsia="Calibri" w:hAnsi="Source Sans Pro" w:cs="Calibri"/>
                <w:color w:val="000000"/>
              </w:rPr>
              <w:t>Band 6</w:t>
            </w:r>
          </w:p>
        </w:tc>
        <w:tc>
          <w:tcPr>
            <w:tcW w:w="1176" w:type="dxa"/>
            <w:hideMark/>
          </w:tcPr>
          <w:p w14:paraId="180E7143" w14:textId="77777777" w:rsidR="00ED64EE" w:rsidRPr="00ED64EE" w:rsidRDefault="00ED64EE" w:rsidP="00ED64EE">
            <w:pPr>
              <w:spacing w:line="252" w:lineRule="auto"/>
              <w:jc w:val="center"/>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b/>
                <w:bCs/>
                <w:color w:val="000000"/>
              </w:rPr>
              <w:t>81,600</w:t>
            </w:r>
          </w:p>
        </w:tc>
        <w:tc>
          <w:tcPr>
            <w:tcW w:w="1003" w:type="dxa"/>
            <w:hideMark/>
          </w:tcPr>
          <w:p w14:paraId="7D1BD441" w14:textId="77777777" w:rsidR="00ED64EE" w:rsidRPr="00ED64EE" w:rsidRDefault="00ED64EE" w:rsidP="00ED64EE">
            <w:pPr>
              <w:spacing w:line="252" w:lineRule="auto"/>
              <w:jc w:val="center"/>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b/>
                <w:bCs/>
                <w:color w:val="000000"/>
              </w:rPr>
              <w:t>7</w:t>
            </w:r>
          </w:p>
        </w:tc>
        <w:tc>
          <w:tcPr>
            <w:tcW w:w="892" w:type="dxa"/>
            <w:hideMark/>
          </w:tcPr>
          <w:p w14:paraId="2FAAB54E" w14:textId="77777777" w:rsidR="00ED64EE" w:rsidRPr="00ED64EE" w:rsidRDefault="00ED64EE" w:rsidP="00ED64EE">
            <w:pPr>
              <w:spacing w:line="252" w:lineRule="auto"/>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color w:val="000000"/>
              </w:rPr>
              <w:t>71,196</w:t>
            </w:r>
          </w:p>
        </w:tc>
        <w:tc>
          <w:tcPr>
            <w:tcW w:w="892" w:type="dxa"/>
            <w:hideMark/>
          </w:tcPr>
          <w:p w14:paraId="42FA3632" w14:textId="77777777" w:rsidR="00ED64EE" w:rsidRPr="00ED64EE" w:rsidRDefault="00ED64EE" w:rsidP="00ED64EE">
            <w:pPr>
              <w:spacing w:line="252" w:lineRule="auto"/>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color w:val="000000"/>
              </w:rPr>
              <w:t>72,930</w:t>
            </w:r>
          </w:p>
        </w:tc>
        <w:tc>
          <w:tcPr>
            <w:tcW w:w="908" w:type="dxa"/>
            <w:hideMark/>
          </w:tcPr>
          <w:p w14:paraId="13FDF33C" w14:textId="77777777" w:rsidR="00ED64EE" w:rsidRPr="00ED64EE" w:rsidRDefault="00ED64EE" w:rsidP="00ED64EE">
            <w:pPr>
              <w:spacing w:line="252" w:lineRule="auto"/>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color w:val="000000"/>
              </w:rPr>
              <w:t>74,664</w:t>
            </w:r>
          </w:p>
        </w:tc>
        <w:tc>
          <w:tcPr>
            <w:tcW w:w="908" w:type="dxa"/>
            <w:hideMark/>
          </w:tcPr>
          <w:p w14:paraId="1068FAD3" w14:textId="77777777" w:rsidR="00ED64EE" w:rsidRPr="00ED64EE" w:rsidRDefault="00ED64EE" w:rsidP="00ED64EE">
            <w:pPr>
              <w:spacing w:line="252" w:lineRule="auto"/>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color w:val="000000"/>
              </w:rPr>
              <w:t>76,398</w:t>
            </w:r>
          </w:p>
        </w:tc>
        <w:tc>
          <w:tcPr>
            <w:tcW w:w="908" w:type="dxa"/>
            <w:hideMark/>
          </w:tcPr>
          <w:p w14:paraId="266B22B5" w14:textId="77777777" w:rsidR="00ED64EE" w:rsidRPr="00ED64EE" w:rsidRDefault="00ED64EE" w:rsidP="00ED64EE">
            <w:pPr>
              <w:spacing w:line="252" w:lineRule="auto"/>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color w:val="000000"/>
              </w:rPr>
              <w:t>78,132</w:t>
            </w:r>
          </w:p>
        </w:tc>
        <w:tc>
          <w:tcPr>
            <w:tcW w:w="908" w:type="dxa"/>
            <w:hideMark/>
          </w:tcPr>
          <w:p w14:paraId="771F3A1D" w14:textId="77777777" w:rsidR="00ED64EE" w:rsidRPr="00ED64EE" w:rsidRDefault="00ED64EE" w:rsidP="00ED64EE">
            <w:pPr>
              <w:spacing w:line="252" w:lineRule="auto"/>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color w:val="000000"/>
              </w:rPr>
              <w:t>79,866</w:t>
            </w:r>
          </w:p>
        </w:tc>
        <w:tc>
          <w:tcPr>
            <w:tcW w:w="908" w:type="dxa"/>
            <w:hideMark/>
          </w:tcPr>
          <w:p w14:paraId="04056BDE" w14:textId="77777777" w:rsidR="00ED64EE" w:rsidRPr="00ED64EE" w:rsidRDefault="00ED64EE" w:rsidP="00ED64EE">
            <w:pPr>
              <w:spacing w:line="252" w:lineRule="auto"/>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b/>
                <w:bCs/>
                <w:color w:val="000000"/>
              </w:rPr>
              <w:t>81,600</w:t>
            </w:r>
          </w:p>
        </w:tc>
      </w:tr>
      <w:tr w:rsidR="00ED64EE" w:rsidRPr="00ED64EE" w14:paraId="2BD24473" w14:textId="77777777" w:rsidTr="009C00DE">
        <w:trPr>
          <w:trHeight w:val="433"/>
        </w:trPr>
        <w:tc>
          <w:tcPr>
            <w:cnfStyle w:val="001000000000" w:firstRow="0" w:lastRow="0" w:firstColumn="1" w:lastColumn="0" w:oddVBand="0" w:evenVBand="0" w:oddHBand="0" w:evenHBand="0" w:firstRowFirstColumn="0" w:firstRowLastColumn="0" w:lastRowFirstColumn="0" w:lastRowLastColumn="0"/>
            <w:tcW w:w="853" w:type="dxa"/>
            <w:hideMark/>
          </w:tcPr>
          <w:p w14:paraId="480BD85F" w14:textId="77777777" w:rsidR="00ED64EE" w:rsidRPr="00ED64EE" w:rsidRDefault="00ED64EE" w:rsidP="00ED64EE">
            <w:pPr>
              <w:spacing w:line="252" w:lineRule="auto"/>
              <w:jc w:val="both"/>
              <w:rPr>
                <w:rFonts w:ascii="Source Sans Pro" w:eastAsia="Calibri" w:hAnsi="Source Sans Pro" w:cs="Calibri"/>
              </w:rPr>
            </w:pPr>
            <w:r w:rsidRPr="00ED64EE">
              <w:rPr>
                <w:rFonts w:ascii="Source Sans Pro" w:eastAsia="Calibri" w:hAnsi="Source Sans Pro" w:cs="Calibri"/>
                <w:color w:val="000000"/>
              </w:rPr>
              <w:t>Band 5</w:t>
            </w:r>
          </w:p>
        </w:tc>
        <w:tc>
          <w:tcPr>
            <w:tcW w:w="1176" w:type="dxa"/>
            <w:hideMark/>
          </w:tcPr>
          <w:p w14:paraId="0978801E" w14:textId="77777777" w:rsidR="00ED64EE" w:rsidRPr="00ED64EE" w:rsidRDefault="00ED64EE" w:rsidP="00ED64EE">
            <w:pPr>
              <w:spacing w:line="252" w:lineRule="auto"/>
              <w:jc w:val="center"/>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b/>
                <w:bCs/>
                <w:color w:val="000000"/>
              </w:rPr>
              <w:t>75,480</w:t>
            </w:r>
          </w:p>
        </w:tc>
        <w:tc>
          <w:tcPr>
            <w:tcW w:w="1003" w:type="dxa"/>
            <w:hideMark/>
          </w:tcPr>
          <w:p w14:paraId="6ED7BCF0" w14:textId="77777777" w:rsidR="00ED64EE" w:rsidRPr="00ED64EE" w:rsidRDefault="00ED64EE" w:rsidP="00ED64EE">
            <w:pPr>
              <w:spacing w:line="252" w:lineRule="auto"/>
              <w:jc w:val="center"/>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b/>
                <w:bCs/>
                <w:color w:val="000000"/>
              </w:rPr>
              <w:t>6</w:t>
            </w:r>
          </w:p>
        </w:tc>
        <w:tc>
          <w:tcPr>
            <w:tcW w:w="892" w:type="dxa"/>
            <w:hideMark/>
          </w:tcPr>
          <w:p w14:paraId="65782C4F" w14:textId="77777777" w:rsidR="00ED64EE" w:rsidRPr="00ED64EE" w:rsidRDefault="00ED64EE" w:rsidP="00ED64EE">
            <w:pPr>
              <w:spacing w:line="252" w:lineRule="auto"/>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color w:val="000000"/>
              </w:rPr>
              <w:t>67,932</w:t>
            </w:r>
          </w:p>
        </w:tc>
        <w:tc>
          <w:tcPr>
            <w:tcW w:w="892" w:type="dxa"/>
            <w:hideMark/>
          </w:tcPr>
          <w:p w14:paraId="4E48CCE8" w14:textId="77777777" w:rsidR="00ED64EE" w:rsidRPr="00ED64EE" w:rsidRDefault="00ED64EE" w:rsidP="00ED64EE">
            <w:pPr>
              <w:spacing w:line="252" w:lineRule="auto"/>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color w:val="000000"/>
              </w:rPr>
              <w:t>69,442</w:t>
            </w:r>
          </w:p>
        </w:tc>
        <w:tc>
          <w:tcPr>
            <w:tcW w:w="908" w:type="dxa"/>
            <w:hideMark/>
          </w:tcPr>
          <w:p w14:paraId="59E9C3EF" w14:textId="77777777" w:rsidR="00ED64EE" w:rsidRPr="00ED64EE" w:rsidRDefault="00ED64EE" w:rsidP="00ED64EE">
            <w:pPr>
              <w:spacing w:line="252" w:lineRule="auto"/>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color w:val="000000"/>
              </w:rPr>
              <w:t>70,951</w:t>
            </w:r>
          </w:p>
        </w:tc>
        <w:tc>
          <w:tcPr>
            <w:tcW w:w="908" w:type="dxa"/>
            <w:hideMark/>
          </w:tcPr>
          <w:p w14:paraId="780E97FD" w14:textId="77777777" w:rsidR="00ED64EE" w:rsidRPr="00ED64EE" w:rsidRDefault="00ED64EE" w:rsidP="00ED64EE">
            <w:pPr>
              <w:spacing w:line="252" w:lineRule="auto"/>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color w:val="000000"/>
              </w:rPr>
              <w:t>72,461</w:t>
            </w:r>
          </w:p>
        </w:tc>
        <w:tc>
          <w:tcPr>
            <w:tcW w:w="908" w:type="dxa"/>
            <w:hideMark/>
          </w:tcPr>
          <w:p w14:paraId="62E9C1E4" w14:textId="77777777" w:rsidR="00ED64EE" w:rsidRPr="00ED64EE" w:rsidRDefault="00ED64EE" w:rsidP="00ED64EE">
            <w:pPr>
              <w:spacing w:line="252" w:lineRule="auto"/>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color w:val="000000"/>
              </w:rPr>
              <w:t>73,970</w:t>
            </w:r>
          </w:p>
        </w:tc>
        <w:tc>
          <w:tcPr>
            <w:tcW w:w="908" w:type="dxa"/>
            <w:hideMark/>
          </w:tcPr>
          <w:p w14:paraId="3CC020C5" w14:textId="77777777" w:rsidR="00ED64EE" w:rsidRPr="00ED64EE" w:rsidRDefault="00ED64EE" w:rsidP="00ED64EE">
            <w:pPr>
              <w:spacing w:line="252" w:lineRule="auto"/>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b/>
                <w:bCs/>
              </w:rPr>
              <w:t>75,480</w:t>
            </w:r>
          </w:p>
        </w:tc>
        <w:tc>
          <w:tcPr>
            <w:tcW w:w="908" w:type="dxa"/>
            <w:hideMark/>
          </w:tcPr>
          <w:p w14:paraId="31B5F059" w14:textId="77777777" w:rsidR="00ED64EE" w:rsidRPr="00ED64EE" w:rsidRDefault="00ED64EE" w:rsidP="00ED64EE">
            <w:pPr>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p>
        </w:tc>
      </w:tr>
      <w:tr w:rsidR="00ED64EE" w:rsidRPr="00ED64EE" w14:paraId="7DD1529A" w14:textId="77777777" w:rsidTr="00ED64EE">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853" w:type="dxa"/>
            <w:hideMark/>
          </w:tcPr>
          <w:p w14:paraId="3C98B982" w14:textId="77777777" w:rsidR="00ED64EE" w:rsidRPr="00ED64EE" w:rsidRDefault="00ED64EE" w:rsidP="00ED64EE">
            <w:pPr>
              <w:spacing w:line="252" w:lineRule="auto"/>
              <w:jc w:val="both"/>
              <w:rPr>
                <w:rFonts w:ascii="Source Sans Pro" w:eastAsia="Calibri" w:hAnsi="Source Sans Pro" w:cs="Calibri"/>
              </w:rPr>
            </w:pPr>
            <w:r w:rsidRPr="00ED64EE">
              <w:rPr>
                <w:rFonts w:ascii="Source Sans Pro" w:eastAsia="Calibri" w:hAnsi="Source Sans Pro" w:cs="Calibri"/>
                <w:color w:val="000000"/>
              </w:rPr>
              <w:t>Band 4</w:t>
            </w:r>
          </w:p>
        </w:tc>
        <w:tc>
          <w:tcPr>
            <w:tcW w:w="1176" w:type="dxa"/>
            <w:hideMark/>
          </w:tcPr>
          <w:p w14:paraId="4A117FE0" w14:textId="77777777" w:rsidR="00ED64EE" w:rsidRPr="00ED64EE" w:rsidRDefault="00ED64EE" w:rsidP="00ED64EE">
            <w:pPr>
              <w:spacing w:line="252" w:lineRule="auto"/>
              <w:jc w:val="center"/>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b/>
                <w:bCs/>
                <w:color w:val="000000"/>
              </w:rPr>
              <w:t>72,114</w:t>
            </w:r>
          </w:p>
        </w:tc>
        <w:tc>
          <w:tcPr>
            <w:tcW w:w="1003" w:type="dxa"/>
            <w:hideMark/>
          </w:tcPr>
          <w:p w14:paraId="1C639170" w14:textId="77777777" w:rsidR="00ED64EE" w:rsidRPr="00ED64EE" w:rsidRDefault="00ED64EE" w:rsidP="00ED64EE">
            <w:pPr>
              <w:spacing w:line="252" w:lineRule="auto"/>
              <w:jc w:val="center"/>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b/>
                <w:bCs/>
                <w:color w:val="000000"/>
              </w:rPr>
              <w:t>6</w:t>
            </w:r>
          </w:p>
        </w:tc>
        <w:tc>
          <w:tcPr>
            <w:tcW w:w="892" w:type="dxa"/>
            <w:hideMark/>
          </w:tcPr>
          <w:p w14:paraId="32CF4018" w14:textId="77777777" w:rsidR="00ED64EE" w:rsidRPr="00ED64EE" w:rsidRDefault="00ED64EE" w:rsidP="00ED64EE">
            <w:pPr>
              <w:spacing w:line="252" w:lineRule="auto"/>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color w:val="000000"/>
              </w:rPr>
              <w:t>64,903</w:t>
            </w:r>
          </w:p>
        </w:tc>
        <w:tc>
          <w:tcPr>
            <w:tcW w:w="892" w:type="dxa"/>
            <w:hideMark/>
          </w:tcPr>
          <w:p w14:paraId="53DA9A5B" w14:textId="77777777" w:rsidR="00ED64EE" w:rsidRPr="00ED64EE" w:rsidRDefault="00ED64EE" w:rsidP="00ED64EE">
            <w:pPr>
              <w:spacing w:line="252" w:lineRule="auto"/>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color w:val="000000"/>
              </w:rPr>
              <w:t>66,345</w:t>
            </w:r>
          </w:p>
        </w:tc>
        <w:tc>
          <w:tcPr>
            <w:tcW w:w="908" w:type="dxa"/>
            <w:hideMark/>
          </w:tcPr>
          <w:p w14:paraId="04607366" w14:textId="77777777" w:rsidR="00ED64EE" w:rsidRPr="00ED64EE" w:rsidRDefault="00ED64EE" w:rsidP="00ED64EE">
            <w:pPr>
              <w:spacing w:line="252" w:lineRule="auto"/>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color w:val="000000"/>
              </w:rPr>
              <w:t>67,787</w:t>
            </w:r>
          </w:p>
        </w:tc>
        <w:tc>
          <w:tcPr>
            <w:tcW w:w="908" w:type="dxa"/>
            <w:hideMark/>
          </w:tcPr>
          <w:p w14:paraId="0337B779" w14:textId="77777777" w:rsidR="00ED64EE" w:rsidRPr="00ED64EE" w:rsidRDefault="00ED64EE" w:rsidP="00ED64EE">
            <w:pPr>
              <w:spacing w:line="252" w:lineRule="auto"/>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color w:val="000000"/>
              </w:rPr>
              <w:t>69,229</w:t>
            </w:r>
          </w:p>
        </w:tc>
        <w:tc>
          <w:tcPr>
            <w:tcW w:w="908" w:type="dxa"/>
            <w:hideMark/>
          </w:tcPr>
          <w:p w14:paraId="0B863EE7" w14:textId="77777777" w:rsidR="00ED64EE" w:rsidRPr="00ED64EE" w:rsidRDefault="00ED64EE" w:rsidP="00ED64EE">
            <w:pPr>
              <w:spacing w:line="252" w:lineRule="auto"/>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color w:val="000000"/>
              </w:rPr>
              <w:t>70,672</w:t>
            </w:r>
          </w:p>
        </w:tc>
        <w:tc>
          <w:tcPr>
            <w:tcW w:w="908" w:type="dxa"/>
            <w:hideMark/>
          </w:tcPr>
          <w:p w14:paraId="3827E243" w14:textId="77777777" w:rsidR="00ED64EE" w:rsidRPr="00ED64EE" w:rsidRDefault="00ED64EE" w:rsidP="00ED64EE">
            <w:pPr>
              <w:spacing w:line="252" w:lineRule="auto"/>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b/>
                <w:bCs/>
                <w:color w:val="000000"/>
              </w:rPr>
              <w:t>72,114</w:t>
            </w:r>
          </w:p>
        </w:tc>
        <w:tc>
          <w:tcPr>
            <w:tcW w:w="908" w:type="dxa"/>
            <w:hideMark/>
          </w:tcPr>
          <w:p w14:paraId="6D1FF39A" w14:textId="77777777" w:rsidR="00ED64EE" w:rsidRPr="00ED64EE" w:rsidRDefault="00ED64EE" w:rsidP="00ED64EE">
            <w:pPr>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p>
        </w:tc>
      </w:tr>
      <w:tr w:rsidR="00ED64EE" w:rsidRPr="00ED64EE" w14:paraId="1E3FB888" w14:textId="77777777" w:rsidTr="009C00DE">
        <w:trPr>
          <w:trHeight w:val="433"/>
        </w:trPr>
        <w:tc>
          <w:tcPr>
            <w:cnfStyle w:val="001000000000" w:firstRow="0" w:lastRow="0" w:firstColumn="1" w:lastColumn="0" w:oddVBand="0" w:evenVBand="0" w:oddHBand="0" w:evenHBand="0" w:firstRowFirstColumn="0" w:firstRowLastColumn="0" w:lastRowFirstColumn="0" w:lastRowLastColumn="0"/>
            <w:tcW w:w="853" w:type="dxa"/>
            <w:hideMark/>
          </w:tcPr>
          <w:p w14:paraId="625AE14B" w14:textId="77777777" w:rsidR="00ED64EE" w:rsidRPr="00ED64EE" w:rsidRDefault="00ED64EE" w:rsidP="00ED64EE">
            <w:pPr>
              <w:spacing w:line="252" w:lineRule="auto"/>
              <w:jc w:val="both"/>
              <w:rPr>
                <w:rFonts w:ascii="Source Sans Pro" w:eastAsia="Calibri" w:hAnsi="Source Sans Pro" w:cs="Calibri"/>
              </w:rPr>
            </w:pPr>
            <w:r w:rsidRPr="00ED64EE">
              <w:rPr>
                <w:rFonts w:ascii="Source Sans Pro" w:eastAsia="Calibri" w:hAnsi="Source Sans Pro" w:cs="Calibri"/>
                <w:color w:val="000000"/>
              </w:rPr>
              <w:t>Band 3</w:t>
            </w:r>
          </w:p>
        </w:tc>
        <w:tc>
          <w:tcPr>
            <w:tcW w:w="1176" w:type="dxa"/>
            <w:hideMark/>
          </w:tcPr>
          <w:p w14:paraId="5381E41E" w14:textId="77777777" w:rsidR="00ED64EE" w:rsidRPr="00ED64EE" w:rsidRDefault="00ED64EE" w:rsidP="00ED64EE">
            <w:pPr>
              <w:spacing w:line="252" w:lineRule="auto"/>
              <w:jc w:val="center"/>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b/>
                <w:bCs/>
                <w:color w:val="000000"/>
              </w:rPr>
              <w:t>68,340</w:t>
            </w:r>
          </w:p>
        </w:tc>
        <w:tc>
          <w:tcPr>
            <w:tcW w:w="1003" w:type="dxa"/>
            <w:hideMark/>
          </w:tcPr>
          <w:p w14:paraId="391945FD" w14:textId="77777777" w:rsidR="00ED64EE" w:rsidRPr="00ED64EE" w:rsidRDefault="00ED64EE" w:rsidP="00ED64EE">
            <w:pPr>
              <w:spacing w:line="252" w:lineRule="auto"/>
              <w:jc w:val="center"/>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b/>
                <w:bCs/>
                <w:color w:val="000000"/>
              </w:rPr>
              <w:t>5</w:t>
            </w:r>
          </w:p>
        </w:tc>
        <w:tc>
          <w:tcPr>
            <w:tcW w:w="892" w:type="dxa"/>
            <w:hideMark/>
          </w:tcPr>
          <w:p w14:paraId="199ED4C0" w14:textId="77777777" w:rsidR="00ED64EE" w:rsidRPr="00ED64EE" w:rsidRDefault="00ED64EE" w:rsidP="00ED64EE">
            <w:pPr>
              <w:spacing w:line="252" w:lineRule="auto"/>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color w:val="000000"/>
              </w:rPr>
              <w:t>59,627</w:t>
            </w:r>
          </w:p>
        </w:tc>
        <w:tc>
          <w:tcPr>
            <w:tcW w:w="892" w:type="dxa"/>
            <w:hideMark/>
          </w:tcPr>
          <w:p w14:paraId="7D549B6B" w14:textId="77777777" w:rsidR="00ED64EE" w:rsidRPr="00ED64EE" w:rsidRDefault="00ED64EE" w:rsidP="00ED64EE">
            <w:pPr>
              <w:spacing w:line="252" w:lineRule="auto"/>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color w:val="000000"/>
              </w:rPr>
              <w:t>61,805</w:t>
            </w:r>
          </w:p>
        </w:tc>
        <w:tc>
          <w:tcPr>
            <w:tcW w:w="908" w:type="dxa"/>
            <w:hideMark/>
          </w:tcPr>
          <w:p w14:paraId="31DB57A0" w14:textId="77777777" w:rsidR="00ED64EE" w:rsidRPr="00ED64EE" w:rsidRDefault="00ED64EE" w:rsidP="00ED64EE">
            <w:pPr>
              <w:spacing w:line="252" w:lineRule="auto"/>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color w:val="000000"/>
              </w:rPr>
              <w:t>63,984</w:t>
            </w:r>
          </w:p>
        </w:tc>
        <w:tc>
          <w:tcPr>
            <w:tcW w:w="908" w:type="dxa"/>
            <w:hideMark/>
          </w:tcPr>
          <w:p w14:paraId="46BD636D" w14:textId="77777777" w:rsidR="00ED64EE" w:rsidRPr="00ED64EE" w:rsidRDefault="00ED64EE" w:rsidP="00ED64EE">
            <w:pPr>
              <w:spacing w:line="252" w:lineRule="auto"/>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color w:val="000000"/>
              </w:rPr>
              <w:t>66,161</w:t>
            </w:r>
          </w:p>
        </w:tc>
        <w:tc>
          <w:tcPr>
            <w:tcW w:w="908" w:type="dxa"/>
            <w:hideMark/>
          </w:tcPr>
          <w:p w14:paraId="6A9C1F51" w14:textId="77777777" w:rsidR="00ED64EE" w:rsidRPr="00ED64EE" w:rsidRDefault="00ED64EE" w:rsidP="00ED64EE">
            <w:pPr>
              <w:spacing w:line="252" w:lineRule="auto"/>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b/>
                <w:bCs/>
              </w:rPr>
              <w:t>68,340</w:t>
            </w:r>
          </w:p>
        </w:tc>
        <w:tc>
          <w:tcPr>
            <w:tcW w:w="908" w:type="dxa"/>
            <w:hideMark/>
          </w:tcPr>
          <w:p w14:paraId="026A54A6" w14:textId="77777777" w:rsidR="00ED64EE" w:rsidRPr="00ED64EE" w:rsidRDefault="00ED64EE" w:rsidP="00ED64EE">
            <w:pPr>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p>
        </w:tc>
        <w:tc>
          <w:tcPr>
            <w:tcW w:w="908" w:type="dxa"/>
            <w:hideMark/>
          </w:tcPr>
          <w:p w14:paraId="443E1F33" w14:textId="77777777" w:rsidR="00ED64EE" w:rsidRPr="00ED64EE" w:rsidRDefault="00ED64EE" w:rsidP="00ED64EE">
            <w:pPr>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Calibri"/>
                <w:lang w:eastAsia="en-NZ"/>
              </w:rPr>
            </w:pPr>
          </w:p>
        </w:tc>
      </w:tr>
      <w:tr w:rsidR="00ED64EE" w:rsidRPr="00ED64EE" w14:paraId="04D44E50" w14:textId="77777777" w:rsidTr="00ED64EE">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853" w:type="dxa"/>
            <w:hideMark/>
          </w:tcPr>
          <w:p w14:paraId="0D96EB16" w14:textId="77777777" w:rsidR="00ED64EE" w:rsidRPr="00ED64EE" w:rsidRDefault="00ED64EE" w:rsidP="00ED64EE">
            <w:pPr>
              <w:spacing w:line="252" w:lineRule="auto"/>
              <w:jc w:val="both"/>
              <w:rPr>
                <w:rFonts w:ascii="Source Sans Pro" w:eastAsia="Calibri" w:hAnsi="Source Sans Pro" w:cs="Calibri"/>
              </w:rPr>
            </w:pPr>
            <w:r w:rsidRPr="00ED64EE">
              <w:rPr>
                <w:rFonts w:ascii="Source Sans Pro" w:eastAsia="Calibri" w:hAnsi="Source Sans Pro" w:cs="Calibri"/>
                <w:color w:val="000000"/>
              </w:rPr>
              <w:t>Band 2</w:t>
            </w:r>
          </w:p>
        </w:tc>
        <w:tc>
          <w:tcPr>
            <w:tcW w:w="1176" w:type="dxa"/>
            <w:hideMark/>
          </w:tcPr>
          <w:p w14:paraId="71C56EE0" w14:textId="77777777" w:rsidR="00ED64EE" w:rsidRPr="00ED64EE" w:rsidRDefault="00ED64EE" w:rsidP="00ED64EE">
            <w:pPr>
              <w:spacing w:line="252" w:lineRule="auto"/>
              <w:jc w:val="center"/>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b/>
                <w:bCs/>
                <w:color w:val="000000"/>
              </w:rPr>
              <w:t>63,240</w:t>
            </w:r>
          </w:p>
        </w:tc>
        <w:tc>
          <w:tcPr>
            <w:tcW w:w="1003" w:type="dxa"/>
            <w:hideMark/>
          </w:tcPr>
          <w:p w14:paraId="3E3B76F2" w14:textId="77777777" w:rsidR="00ED64EE" w:rsidRPr="00ED64EE" w:rsidRDefault="00ED64EE" w:rsidP="00ED64EE">
            <w:pPr>
              <w:spacing w:line="252" w:lineRule="auto"/>
              <w:jc w:val="center"/>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b/>
                <w:bCs/>
                <w:color w:val="000000"/>
              </w:rPr>
              <w:t>4</w:t>
            </w:r>
          </w:p>
        </w:tc>
        <w:tc>
          <w:tcPr>
            <w:tcW w:w="892" w:type="dxa"/>
            <w:hideMark/>
          </w:tcPr>
          <w:p w14:paraId="0A4EE73A" w14:textId="77777777" w:rsidR="00ED64EE" w:rsidRPr="00ED64EE" w:rsidRDefault="00ED64EE" w:rsidP="00ED64EE">
            <w:pPr>
              <w:spacing w:line="252" w:lineRule="auto"/>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color w:val="000000"/>
              </w:rPr>
              <w:t>55,177</w:t>
            </w:r>
          </w:p>
        </w:tc>
        <w:tc>
          <w:tcPr>
            <w:tcW w:w="892" w:type="dxa"/>
            <w:hideMark/>
          </w:tcPr>
          <w:p w14:paraId="10095039" w14:textId="77777777" w:rsidR="00ED64EE" w:rsidRPr="00ED64EE" w:rsidRDefault="00ED64EE" w:rsidP="00ED64EE">
            <w:pPr>
              <w:spacing w:line="252" w:lineRule="auto"/>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color w:val="000000"/>
              </w:rPr>
              <w:t>57,865</w:t>
            </w:r>
          </w:p>
        </w:tc>
        <w:tc>
          <w:tcPr>
            <w:tcW w:w="908" w:type="dxa"/>
            <w:hideMark/>
          </w:tcPr>
          <w:p w14:paraId="50575E5E" w14:textId="77777777" w:rsidR="00ED64EE" w:rsidRPr="00ED64EE" w:rsidRDefault="00ED64EE" w:rsidP="00ED64EE">
            <w:pPr>
              <w:spacing w:line="252" w:lineRule="auto"/>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color w:val="000000"/>
              </w:rPr>
              <w:t>60,552</w:t>
            </w:r>
          </w:p>
        </w:tc>
        <w:tc>
          <w:tcPr>
            <w:tcW w:w="908" w:type="dxa"/>
            <w:hideMark/>
          </w:tcPr>
          <w:p w14:paraId="42CC16D0" w14:textId="77777777" w:rsidR="00ED64EE" w:rsidRPr="00ED64EE" w:rsidRDefault="00ED64EE" w:rsidP="00ED64EE">
            <w:pPr>
              <w:spacing w:line="252" w:lineRule="auto"/>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b/>
                <w:bCs/>
                <w:color w:val="000000"/>
              </w:rPr>
              <w:t>63,240</w:t>
            </w:r>
          </w:p>
        </w:tc>
        <w:tc>
          <w:tcPr>
            <w:tcW w:w="908" w:type="dxa"/>
            <w:hideMark/>
          </w:tcPr>
          <w:p w14:paraId="2A93FB29" w14:textId="77777777" w:rsidR="00ED64EE" w:rsidRPr="00ED64EE" w:rsidRDefault="00ED64EE" w:rsidP="00ED64EE">
            <w:pPr>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p>
        </w:tc>
        <w:tc>
          <w:tcPr>
            <w:tcW w:w="908" w:type="dxa"/>
            <w:hideMark/>
          </w:tcPr>
          <w:p w14:paraId="0A172652" w14:textId="77777777" w:rsidR="00ED64EE" w:rsidRPr="00ED64EE" w:rsidRDefault="00ED64EE" w:rsidP="00ED64EE">
            <w:pPr>
              <w:cnfStyle w:val="000000100000" w:firstRow="0" w:lastRow="0" w:firstColumn="0" w:lastColumn="0" w:oddVBand="0" w:evenVBand="0" w:oddHBand="1" w:evenHBand="0" w:firstRowFirstColumn="0" w:firstRowLastColumn="0" w:lastRowFirstColumn="0" w:lastRowLastColumn="0"/>
              <w:rPr>
                <w:rFonts w:ascii="Source Sans Pro" w:eastAsia="Times New Roman" w:hAnsi="Source Sans Pro" w:cs="Calibri"/>
                <w:lang w:eastAsia="en-NZ"/>
              </w:rPr>
            </w:pPr>
          </w:p>
        </w:tc>
        <w:tc>
          <w:tcPr>
            <w:tcW w:w="908" w:type="dxa"/>
            <w:hideMark/>
          </w:tcPr>
          <w:p w14:paraId="3525C3C6" w14:textId="77777777" w:rsidR="00ED64EE" w:rsidRPr="00ED64EE" w:rsidRDefault="00ED64EE" w:rsidP="00ED64EE">
            <w:pPr>
              <w:cnfStyle w:val="000000100000" w:firstRow="0" w:lastRow="0" w:firstColumn="0" w:lastColumn="0" w:oddVBand="0" w:evenVBand="0" w:oddHBand="1" w:evenHBand="0" w:firstRowFirstColumn="0" w:firstRowLastColumn="0" w:lastRowFirstColumn="0" w:lastRowLastColumn="0"/>
              <w:rPr>
                <w:rFonts w:ascii="Source Sans Pro" w:eastAsia="Times New Roman" w:hAnsi="Source Sans Pro" w:cs="Calibri"/>
                <w:lang w:eastAsia="en-NZ"/>
              </w:rPr>
            </w:pPr>
          </w:p>
        </w:tc>
      </w:tr>
      <w:tr w:rsidR="00ED64EE" w:rsidRPr="00ED64EE" w14:paraId="73983F7F" w14:textId="77777777" w:rsidTr="009C00DE">
        <w:trPr>
          <w:trHeight w:val="433"/>
        </w:trPr>
        <w:tc>
          <w:tcPr>
            <w:cnfStyle w:val="001000000000" w:firstRow="0" w:lastRow="0" w:firstColumn="1" w:lastColumn="0" w:oddVBand="0" w:evenVBand="0" w:oddHBand="0" w:evenHBand="0" w:firstRowFirstColumn="0" w:firstRowLastColumn="0" w:lastRowFirstColumn="0" w:lastRowLastColumn="0"/>
            <w:tcW w:w="853" w:type="dxa"/>
            <w:hideMark/>
          </w:tcPr>
          <w:p w14:paraId="5FCCFC32" w14:textId="77777777" w:rsidR="00ED64EE" w:rsidRPr="00ED64EE" w:rsidRDefault="00ED64EE" w:rsidP="00ED64EE">
            <w:pPr>
              <w:spacing w:line="252" w:lineRule="auto"/>
              <w:jc w:val="both"/>
              <w:rPr>
                <w:rFonts w:ascii="Source Sans Pro" w:eastAsia="Calibri" w:hAnsi="Source Sans Pro" w:cs="Calibri"/>
              </w:rPr>
            </w:pPr>
            <w:r w:rsidRPr="00ED64EE">
              <w:rPr>
                <w:rFonts w:ascii="Source Sans Pro" w:eastAsia="Calibri" w:hAnsi="Source Sans Pro" w:cs="Calibri"/>
                <w:color w:val="000000"/>
              </w:rPr>
              <w:t>Band 1</w:t>
            </w:r>
          </w:p>
        </w:tc>
        <w:tc>
          <w:tcPr>
            <w:tcW w:w="1176" w:type="dxa"/>
            <w:hideMark/>
          </w:tcPr>
          <w:p w14:paraId="55F3FFA7" w14:textId="77777777" w:rsidR="00ED64EE" w:rsidRPr="00ED64EE" w:rsidRDefault="00ED64EE" w:rsidP="00ED64EE">
            <w:pPr>
              <w:spacing w:line="252" w:lineRule="auto"/>
              <w:jc w:val="center"/>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b/>
                <w:bCs/>
                <w:color w:val="000000"/>
              </w:rPr>
              <w:t>57,630</w:t>
            </w:r>
          </w:p>
        </w:tc>
        <w:tc>
          <w:tcPr>
            <w:tcW w:w="1003" w:type="dxa"/>
            <w:hideMark/>
          </w:tcPr>
          <w:p w14:paraId="0CA37C51" w14:textId="77777777" w:rsidR="00ED64EE" w:rsidRPr="00ED64EE" w:rsidRDefault="00ED64EE" w:rsidP="00ED64EE">
            <w:pPr>
              <w:spacing w:line="252" w:lineRule="auto"/>
              <w:jc w:val="center"/>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b/>
                <w:bCs/>
                <w:color w:val="000000"/>
              </w:rPr>
              <w:t>3</w:t>
            </w:r>
          </w:p>
        </w:tc>
        <w:tc>
          <w:tcPr>
            <w:tcW w:w="892" w:type="dxa"/>
            <w:hideMark/>
          </w:tcPr>
          <w:p w14:paraId="76E4F050" w14:textId="77777777" w:rsidR="00ED64EE" w:rsidRPr="00ED64EE" w:rsidRDefault="00ED64EE" w:rsidP="00ED64EE">
            <w:pPr>
              <w:spacing w:line="252" w:lineRule="auto"/>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color w:val="000000"/>
              </w:rPr>
              <w:t>51,291</w:t>
            </w:r>
          </w:p>
        </w:tc>
        <w:tc>
          <w:tcPr>
            <w:tcW w:w="892" w:type="dxa"/>
            <w:hideMark/>
          </w:tcPr>
          <w:p w14:paraId="47E41271" w14:textId="77777777" w:rsidR="00ED64EE" w:rsidRPr="00ED64EE" w:rsidRDefault="00ED64EE" w:rsidP="00ED64EE">
            <w:pPr>
              <w:spacing w:line="252" w:lineRule="auto"/>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color w:val="000000"/>
              </w:rPr>
              <w:t>54,461</w:t>
            </w:r>
          </w:p>
        </w:tc>
        <w:tc>
          <w:tcPr>
            <w:tcW w:w="908" w:type="dxa"/>
            <w:hideMark/>
          </w:tcPr>
          <w:p w14:paraId="13A449C0" w14:textId="77777777" w:rsidR="00ED64EE" w:rsidRPr="00ED64EE" w:rsidRDefault="00ED64EE" w:rsidP="00ED64EE">
            <w:pPr>
              <w:spacing w:line="252" w:lineRule="auto"/>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b/>
                <w:bCs/>
              </w:rPr>
              <w:t>57,630</w:t>
            </w:r>
          </w:p>
        </w:tc>
        <w:tc>
          <w:tcPr>
            <w:tcW w:w="908" w:type="dxa"/>
            <w:hideMark/>
          </w:tcPr>
          <w:p w14:paraId="20AE1648" w14:textId="77777777" w:rsidR="00ED64EE" w:rsidRPr="00ED64EE" w:rsidRDefault="00ED64EE" w:rsidP="00ED64EE">
            <w:pPr>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p>
        </w:tc>
        <w:tc>
          <w:tcPr>
            <w:tcW w:w="908" w:type="dxa"/>
            <w:hideMark/>
          </w:tcPr>
          <w:p w14:paraId="51997F3A" w14:textId="77777777" w:rsidR="00ED64EE" w:rsidRPr="00ED64EE" w:rsidRDefault="00ED64EE" w:rsidP="00ED64EE">
            <w:pPr>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Calibri"/>
                <w:lang w:eastAsia="en-NZ"/>
              </w:rPr>
            </w:pPr>
          </w:p>
        </w:tc>
        <w:tc>
          <w:tcPr>
            <w:tcW w:w="908" w:type="dxa"/>
            <w:hideMark/>
          </w:tcPr>
          <w:p w14:paraId="08B2C152" w14:textId="77777777" w:rsidR="00ED64EE" w:rsidRPr="00ED64EE" w:rsidRDefault="00ED64EE" w:rsidP="00ED64EE">
            <w:pPr>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Calibri"/>
                <w:lang w:eastAsia="en-NZ"/>
              </w:rPr>
            </w:pPr>
          </w:p>
        </w:tc>
        <w:tc>
          <w:tcPr>
            <w:tcW w:w="908" w:type="dxa"/>
            <w:hideMark/>
          </w:tcPr>
          <w:p w14:paraId="4CAF13D2" w14:textId="77777777" w:rsidR="00ED64EE" w:rsidRPr="00ED64EE" w:rsidRDefault="00ED64EE" w:rsidP="00ED64EE">
            <w:pPr>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Calibri"/>
                <w:lang w:eastAsia="en-NZ"/>
              </w:rPr>
            </w:pPr>
          </w:p>
        </w:tc>
      </w:tr>
    </w:tbl>
    <w:p w14:paraId="32C8CDAB" w14:textId="77777777" w:rsidR="00ED64EE" w:rsidRPr="00ED64EE" w:rsidRDefault="00ED64EE" w:rsidP="00ED64EE">
      <w:pPr>
        <w:spacing w:before="240" w:after="0" w:line="240" w:lineRule="auto"/>
        <w:rPr>
          <w:rFonts w:eastAsia="Calibri" w:cs="Times New Roman"/>
          <w:b/>
          <w:bCs/>
          <w:sz w:val="24"/>
          <w:szCs w:val="24"/>
        </w:rPr>
      </w:pPr>
      <w:r w:rsidRPr="00ED64EE">
        <w:rPr>
          <w:rFonts w:eastAsia="Calibri" w:cs="Times New Roman"/>
          <w:b/>
          <w:bCs/>
          <w:sz w:val="24"/>
          <w:szCs w:val="24"/>
        </w:rPr>
        <w:t>Clinical Coders Pay Scale</w:t>
      </w:r>
    </w:p>
    <w:tbl>
      <w:tblPr>
        <w:tblStyle w:val="TASGreen1"/>
        <w:tblW w:w="9356" w:type="dxa"/>
        <w:tblLook w:val="04A0" w:firstRow="1" w:lastRow="0" w:firstColumn="1" w:lastColumn="0" w:noHBand="0" w:noVBand="1"/>
      </w:tblPr>
      <w:tblGrid>
        <w:gridCol w:w="993"/>
        <w:gridCol w:w="2121"/>
        <w:gridCol w:w="1422"/>
        <w:gridCol w:w="2410"/>
        <w:gridCol w:w="2410"/>
      </w:tblGrid>
      <w:tr w:rsidR="00ED64EE" w:rsidRPr="00ED64EE" w14:paraId="02C510F8" w14:textId="77777777" w:rsidTr="00ED64EE">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114" w:type="dxa"/>
            <w:gridSpan w:val="2"/>
            <w:hideMark/>
          </w:tcPr>
          <w:p w14:paraId="5C86ED90" w14:textId="77777777" w:rsidR="00ED64EE" w:rsidRPr="00ED64EE" w:rsidRDefault="00ED64EE" w:rsidP="00ED64EE">
            <w:pPr>
              <w:spacing w:before="60" w:line="276" w:lineRule="auto"/>
              <w:rPr>
                <w:rFonts w:ascii="Source Sans Pro" w:eastAsia="Calibri" w:hAnsi="Source Sans Pro" w:cs="Calibri"/>
              </w:rPr>
            </w:pPr>
            <w:r w:rsidRPr="00ED64EE">
              <w:rPr>
                <w:rFonts w:ascii="Source Sans Pro" w:eastAsia="Calibri" w:hAnsi="Source Sans Pro" w:cs="Calibri"/>
              </w:rPr>
              <w:t> Levels</w:t>
            </w:r>
          </w:p>
        </w:tc>
        <w:tc>
          <w:tcPr>
            <w:tcW w:w="1422" w:type="dxa"/>
            <w:hideMark/>
          </w:tcPr>
          <w:p w14:paraId="3F54A25A" w14:textId="77777777" w:rsidR="00ED64EE" w:rsidRPr="00ED64EE" w:rsidRDefault="00ED64EE" w:rsidP="00ED64EE">
            <w:pPr>
              <w:spacing w:before="60" w:line="276" w:lineRule="auto"/>
              <w:cnfStyle w:val="100000000000" w:firstRow="1"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rPr>
              <w:t>Level Value</w:t>
            </w:r>
          </w:p>
        </w:tc>
        <w:tc>
          <w:tcPr>
            <w:tcW w:w="2410" w:type="dxa"/>
            <w:hideMark/>
          </w:tcPr>
          <w:p w14:paraId="2CE525E5" w14:textId="77777777" w:rsidR="00ED64EE" w:rsidRPr="00ED64EE" w:rsidRDefault="00ED64EE" w:rsidP="00ED64EE">
            <w:pPr>
              <w:spacing w:before="60" w:line="276" w:lineRule="auto"/>
              <w:cnfStyle w:val="100000000000" w:firstRow="1"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rPr>
              <w:t>Tertiary Adjustment</w:t>
            </w:r>
          </w:p>
        </w:tc>
        <w:tc>
          <w:tcPr>
            <w:tcW w:w="2410" w:type="dxa"/>
            <w:hideMark/>
          </w:tcPr>
          <w:p w14:paraId="6DEB9BCE" w14:textId="77777777" w:rsidR="00ED64EE" w:rsidRPr="00ED64EE" w:rsidRDefault="00ED64EE" w:rsidP="00ED64EE">
            <w:pPr>
              <w:spacing w:before="60" w:line="276" w:lineRule="auto"/>
              <w:cnfStyle w:val="100000000000" w:firstRow="1"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rPr>
              <w:t>Note</w:t>
            </w:r>
          </w:p>
        </w:tc>
      </w:tr>
      <w:tr w:rsidR="00ED64EE" w:rsidRPr="00ED64EE" w14:paraId="3B25DC73" w14:textId="77777777" w:rsidTr="00ED64EE">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993" w:type="dxa"/>
            <w:hideMark/>
          </w:tcPr>
          <w:p w14:paraId="5D28B98E" w14:textId="77777777" w:rsidR="00ED64EE" w:rsidRPr="00ED64EE" w:rsidRDefault="00ED64EE" w:rsidP="00ED64EE">
            <w:pPr>
              <w:spacing w:before="60" w:after="60"/>
              <w:rPr>
                <w:rFonts w:ascii="Source Sans Pro" w:eastAsia="Calibri" w:hAnsi="Source Sans Pro" w:cs="Calibri"/>
              </w:rPr>
            </w:pPr>
            <w:r w:rsidRPr="00ED64EE">
              <w:rPr>
                <w:rFonts w:ascii="Source Sans Pro" w:eastAsia="Calibri" w:hAnsi="Source Sans Pro" w:cs="Calibri"/>
                <w:color w:val="000000"/>
              </w:rPr>
              <w:t>Level 0</w:t>
            </w:r>
          </w:p>
        </w:tc>
        <w:tc>
          <w:tcPr>
            <w:tcW w:w="2121" w:type="dxa"/>
            <w:hideMark/>
          </w:tcPr>
          <w:p w14:paraId="7E637705" w14:textId="77777777" w:rsidR="00ED64EE" w:rsidRPr="00ED64EE" w:rsidRDefault="00ED64EE" w:rsidP="00ED64EE">
            <w:pPr>
              <w:spacing w:before="60"/>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rPr>
              <w:t>Trainee / Apprentice</w:t>
            </w:r>
          </w:p>
        </w:tc>
        <w:tc>
          <w:tcPr>
            <w:tcW w:w="1422" w:type="dxa"/>
            <w:hideMark/>
          </w:tcPr>
          <w:p w14:paraId="48D9E404" w14:textId="77777777" w:rsidR="00ED64EE" w:rsidRPr="00ED64EE" w:rsidRDefault="00ED64EE" w:rsidP="00ED64EE">
            <w:pPr>
              <w:spacing w:before="60"/>
              <w:jc w:val="center"/>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b/>
                <w:bCs/>
              </w:rPr>
            </w:pPr>
            <w:r w:rsidRPr="00ED64EE">
              <w:rPr>
                <w:rFonts w:ascii="Source Sans Pro" w:eastAsia="Calibri" w:hAnsi="Source Sans Pro" w:cs="Calibri"/>
                <w:b/>
                <w:bCs/>
              </w:rPr>
              <w:t>69,360</w:t>
            </w:r>
          </w:p>
        </w:tc>
        <w:tc>
          <w:tcPr>
            <w:tcW w:w="2410" w:type="dxa"/>
            <w:hideMark/>
          </w:tcPr>
          <w:p w14:paraId="6A0D4830" w14:textId="77777777" w:rsidR="00ED64EE" w:rsidRPr="00ED64EE" w:rsidRDefault="00ED64EE" w:rsidP="00ED64EE">
            <w:pPr>
              <w:spacing w:before="60"/>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rPr>
              <w:t> </w:t>
            </w:r>
          </w:p>
        </w:tc>
        <w:tc>
          <w:tcPr>
            <w:tcW w:w="2410" w:type="dxa"/>
            <w:hideMark/>
          </w:tcPr>
          <w:p w14:paraId="1A97585E" w14:textId="77777777" w:rsidR="00ED64EE" w:rsidRPr="00ED64EE" w:rsidRDefault="00ED64EE" w:rsidP="00ED64EE">
            <w:pPr>
              <w:spacing w:before="60"/>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rPr>
              <w:t>This is fully managed</w:t>
            </w:r>
          </w:p>
        </w:tc>
      </w:tr>
      <w:tr w:rsidR="00ED64EE" w:rsidRPr="00ED64EE" w14:paraId="33867BF3" w14:textId="77777777" w:rsidTr="009C00DE">
        <w:trPr>
          <w:trHeight w:val="385"/>
        </w:trPr>
        <w:tc>
          <w:tcPr>
            <w:cnfStyle w:val="001000000000" w:firstRow="0" w:lastRow="0" w:firstColumn="1" w:lastColumn="0" w:oddVBand="0" w:evenVBand="0" w:oddHBand="0" w:evenHBand="0" w:firstRowFirstColumn="0" w:firstRowLastColumn="0" w:lastRowFirstColumn="0" w:lastRowLastColumn="0"/>
            <w:tcW w:w="993" w:type="dxa"/>
            <w:hideMark/>
          </w:tcPr>
          <w:p w14:paraId="3686FA80" w14:textId="77777777" w:rsidR="00ED64EE" w:rsidRPr="00ED64EE" w:rsidRDefault="00ED64EE" w:rsidP="00ED64EE">
            <w:pPr>
              <w:spacing w:before="60" w:after="60"/>
              <w:rPr>
                <w:rFonts w:ascii="Source Sans Pro" w:eastAsia="Calibri" w:hAnsi="Source Sans Pro" w:cs="Calibri"/>
              </w:rPr>
            </w:pPr>
            <w:r w:rsidRPr="00ED64EE">
              <w:rPr>
                <w:rFonts w:ascii="Source Sans Pro" w:eastAsia="Calibri" w:hAnsi="Source Sans Pro" w:cs="Calibri"/>
                <w:color w:val="000000"/>
              </w:rPr>
              <w:t>Level 1</w:t>
            </w:r>
          </w:p>
        </w:tc>
        <w:tc>
          <w:tcPr>
            <w:tcW w:w="2121" w:type="dxa"/>
            <w:hideMark/>
          </w:tcPr>
          <w:p w14:paraId="7344C85A" w14:textId="77777777" w:rsidR="00ED64EE" w:rsidRPr="00ED64EE" w:rsidRDefault="00ED64EE" w:rsidP="00ED64EE">
            <w:pPr>
              <w:spacing w:before="60"/>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color w:val="000000"/>
              </w:rPr>
              <w:t>Novice</w:t>
            </w:r>
          </w:p>
        </w:tc>
        <w:tc>
          <w:tcPr>
            <w:tcW w:w="1422" w:type="dxa"/>
            <w:hideMark/>
          </w:tcPr>
          <w:p w14:paraId="30C72C51" w14:textId="77777777" w:rsidR="00ED64EE" w:rsidRPr="00ED64EE" w:rsidRDefault="00ED64EE" w:rsidP="00ED64EE">
            <w:pPr>
              <w:spacing w:before="60"/>
              <w:jc w:val="center"/>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b/>
                <w:bCs/>
              </w:rPr>
            </w:pPr>
            <w:r w:rsidRPr="00ED64EE">
              <w:rPr>
                <w:rFonts w:ascii="Source Sans Pro" w:eastAsia="Calibri" w:hAnsi="Source Sans Pro" w:cs="Calibri"/>
                <w:b/>
                <w:bCs/>
              </w:rPr>
              <w:t>71,652</w:t>
            </w:r>
          </w:p>
        </w:tc>
        <w:tc>
          <w:tcPr>
            <w:tcW w:w="2410" w:type="dxa"/>
            <w:hideMark/>
          </w:tcPr>
          <w:p w14:paraId="63FBF092" w14:textId="77777777" w:rsidR="00ED64EE" w:rsidRPr="00ED64EE" w:rsidRDefault="00ED64EE" w:rsidP="00ED64EE">
            <w:pPr>
              <w:spacing w:before="60"/>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rPr>
              <w:t>No change</w:t>
            </w:r>
          </w:p>
        </w:tc>
        <w:tc>
          <w:tcPr>
            <w:tcW w:w="2410" w:type="dxa"/>
            <w:hideMark/>
          </w:tcPr>
          <w:p w14:paraId="53490660" w14:textId="77777777" w:rsidR="00ED64EE" w:rsidRPr="00ED64EE" w:rsidRDefault="00ED64EE" w:rsidP="00ED64EE">
            <w:pPr>
              <w:spacing w:before="60"/>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rPr>
              <w:t> </w:t>
            </w:r>
          </w:p>
        </w:tc>
      </w:tr>
      <w:tr w:rsidR="00ED64EE" w:rsidRPr="00ED64EE" w14:paraId="445FC7A4" w14:textId="77777777" w:rsidTr="00ED64EE">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993" w:type="dxa"/>
            <w:hideMark/>
          </w:tcPr>
          <w:p w14:paraId="494DE268" w14:textId="77777777" w:rsidR="00ED64EE" w:rsidRPr="00ED64EE" w:rsidRDefault="00ED64EE" w:rsidP="00ED64EE">
            <w:pPr>
              <w:spacing w:before="60" w:after="60"/>
              <w:rPr>
                <w:rFonts w:ascii="Source Sans Pro" w:eastAsia="Calibri" w:hAnsi="Source Sans Pro" w:cs="Calibri"/>
              </w:rPr>
            </w:pPr>
            <w:r w:rsidRPr="00ED64EE">
              <w:rPr>
                <w:rFonts w:ascii="Source Sans Pro" w:eastAsia="Calibri" w:hAnsi="Source Sans Pro" w:cs="Calibri"/>
                <w:color w:val="000000"/>
              </w:rPr>
              <w:t>Level 2</w:t>
            </w:r>
          </w:p>
        </w:tc>
        <w:tc>
          <w:tcPr>
            <w:tcW w:w="2121" w:type="dxa"/>
            <w:hideMark/>
          </w:tcPr>
          <w:p w14:paraId="4BF39469" w14:textId="77777777" w:rsidR="00ED64EE" w:rsidRPr="00ED64EE" w:rsidRDefault="00ED64EE" w:rsidP="00ED64EE">
            <w:pPr>
              <w:spacing w:before="60"/>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rPr>
              <w:t>Developing</w:t>
            </w:r>
          </w:p>
        </w:tc>
        <w:tc>
          <w:tcPr>
            <w:tcW w:w="1422" w:type="dxa"/>
            <w:hideMark/>
          </w:tcPr>
          <w:p w14:paraId="5A9157CF" w14:textId="77777777" w:rsidR="00ED64EE" w:rsidRPr="00ED64EE" w:rsidRDefault="00ED64EE" w:rsidP="00ED64EE">
            <w:pPr>
              <w:spacing w:before="60"/>
              <w:jc w:val="center"/>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b/>
                <w:bCs/>
              </w:rPr>
            </w:pPr>
            <w:r w:rsidRPr="00ED64EE">
              <w:rPr>
                <w:rFonts w:ascii="Source Sans Pro" w:eastAsia="Calibri" w:hAnsi="Source Sans Pro" w:cs="Calibri"/>
                <w:b/>
                <w:bCs/>
              </w:rPr>
              <w:t>74,019</w:t>
            </w:r>
          </w:p>
        </w:tc>
        <w:tc>
          <w:tcPr>
            <w:tcW w:w="2410" w:type="dxa"/>
            <w:hideMark/>
          </w:tcPr>
          <w:p w14:paraId="14E28DF9" w14:textId="77777777" w:rsidR="00ED64EE" w:rsidRPr="00ED64EE" w:rsidRDefault="00ED64EE" w:rsidP="00ED64EE">
            <w:pPr>
              <w:spacing w:before="60"/>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rPr>
              <w:t>No Change</w:t>
            </w:r>
          </w:p>
        </w:tc>
        <w:tc>
          <w:tcPr>
            <w:tcW w:w="2410" w:type="dxa"/>
            <w:hideMark/>
          </w:tcPr>
          <w:p w14:paraId="526D40E7" w14:textId="77777777" w:rsidR="00ED64EE" w:rsidRPr="00ED64EE" w:rsidRDefault="00ED64EE" w:rsidP="00ED64EE">
            <w:pPr>
              <w:spacing w:before="60"/>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rPr>
              <w:t> </w:t>
            </w:r>
          </w:p>
        </w:tc>
      </w:tr>
      <w:tr w:rsidR="00ED64EE" w:rsidRPr="00ED64EE" w14:paraId="1B72BB17" w14:textId="77777777" w:rsidTr="009C00DE">
        <w:trPr>
          <w:trHeight w:val="385"/>
        </w:trPr>
        <w:tc>
          <w:tcPr>
            <w:cnfStyle w:val="001000000000" w:firstRow="0" w:lastRow="0" w:firstColumn="1" w:lastColumn="0" w:oddVBand="0" w:evenVBand="0" w:oddHBand="0" w:evenHBand="0" w:firstRowFirstColumn="0" w:firstRowLastColumn="0" w:lastRowFirstColumn="0" w:lastRowLastColumn="0"/>
            <w:tcW w:w="993" w:type="dxa"/>
            <w:hideMark/>
          </w:tcPr>
          <w:p w14:paraId="297AC3BC" w14:textId="77777777" w:rsidR="00ED64EE" w:rsidRPr="00ED64EE" w:rsidRDefault="00ED64EE" w:rsidP="00ED64EE">
            <w:pPr>
              <w:spacing w:before="60" w:after="60"/>
              <w:rPr>
                <w:rFonts w:ascii="Source Sans Pro" w:eastAsia="Calibri" w:hAnsi="Source Sans Pro" w:cs="Calibri"/>
              </w:rPr>
            </w:pPr>
            <w:r w:rsidRPr="00ED64EE">
              <w:rPr>
                <w:rFonts w:ascii="Source Sans Pro" w:eastAsia="Calibri" w:hAnsi="Source Sans Pro" w:cs="Calibri"/>
                <w:color w:val="000000"/>
              </w:rPr>
              <w:t>Level 3</w:t>
            </w:r>
          </w:p>
        </w:tc>
        <w:tc>
          <w:tcPr>
            <w:tcW w:w="2121" w:type="dxa"/>
            <w:hideMark/>
          </w:tcPr>
          <w:p w14:paraId="65B3BF03" w14:textId="77777777" w:rsidR="00ED64EE" w:rsidRPr="00ED64EE" w:rsidRDefault="00ED64EE" w:rsidP="00ED64EE">
            <w:pPr>
              <w:spacing w:before="60"/>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color w:val="000000"/>
              </w:rPr>
              <w:t>Competent</w:t>
            </w:r>
          </w:p>
        </w:tc>
        <w:tc>
          <w:tcPr>
            <w:tcW w:w="1422" w:type="dxa"/>
            <w:hideMark/>
          </w:tcPr>
          <w:p w14:paraId="3BB3CD60" w14:textId="77777777" w:rsidR="00ED64EE" w:rsidRPr="00ED64EE" w:rsidRDefault="00ED64EE" w:rsidP="00ED64EE">
            <w:pPr>
              <w:spacing w:before="60"/>
              <w:jc w:val="center"/>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b/>
                <w:bCs/>
              </w:rPr>
            </w:pPr>
            <w:r w:rsidRPr="00ED64EE">
              <w:rPr>
                <w:rFonts w:ascii="Source Sans Pro" w:eastAsia="Calibri" w:hAnsi="Source Sans Pro" w:cs="Calibri"/>
                <w:b/>
                <w:bCs/>
              </w:rPr>
              <w:t>76,464</w:t>
            </w:r>
          </w:p>
        </w:tc>
        <w:tc>
          <w:tcPr>
            <w:tcW w:w="2410" w:type="dxa"/>
            <w:hideMark/>
          </w:tcPr>
          <w:p w14:paraId="7BDABC4E" w14:textId="77777777" w:rsidR="00ED64EE" w:rsidRPr="00ED64EE" w:rsidRDefault="00ED64EE" w:rsidP="00ED64EE">
            <w:pPr>
              <w:spacing w:before="60"/>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rPr>
              <w:t>6.5%</w:t>
            </w:r>
          </w:p>
        </w:tc>
        <w:tc>
          <w:tcPr>
            <w:tcW w:w="2410" w:type="dxa"/>
            <w:hideMark/>
          </w:tcPr>
          <w:p w14:paraId="1176F3C6" w14:textId="77777777" w:rsidR="00ED64EE" w:rsidRPr="00ED64EE" w:rsidRDefault="00ED64EE" w:rsidP="00ED64EE">
            <w:pPr>
              <w:spacing w:before="60"/>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rPr>
              <w:t> Added to base</w:t>
            </w:r>
          </w:p>
        </w:tc>
      </w:tr>
      <w:tr w:rsidR="00ED64EE" w:rsidRPr="00ED64EE" w14:paraId="07A0F309" w14:textId="77777777" w:rsidTr="00ED64EE">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993" w:type="dxa"/>
            <w:hideMark/>
          </w:tcPr>
          <w:p w14:paraId="1B8011C3" w14:textId="77777777" w:rsidR="00ED64EE" w:rsidRPr="00ED64EE" w:rsidRDefault="00ED64EE" w:rsidP="00ED64EE">
            <w:pPr>
              <w:spacing w:before="60" w:after="60"/>
              <w:rPr>
                <w:rFonts w:ascii="Source Sans Pro" w:eastAsia="Calibri" w:hAnsi="Source Sans Pro" w:cs="Calibri"/>
              </w:rPr>
            </w:pPr>
            <w:r w:rsidRPr="00ED64EE">
              <w:rPr>
                <w:rFonts w:ascii="Source Sans Pro" w:eastAsia="Calibri" w:hAnsi="Source Sans Pro" w:cs="Calibri"/>
                <w:color w:val="000000"/>
              </w:rPr>
              <w:t>Level 4</w:t>
            </w:r>
          </w:p>
        </w:tc>
        <w:tc>
          <w:tcPr>
            <w:tcW w:w="2121" w:type="dxa"/>
            <w:hideMark/>
          </w:tcPr>
          <w:p w14:paraId="1B36265B" w14:textId="77777777" w:rsidR="00ED64EE" w:rsidRPr="00ED64EE" w:rsidRDefault="00ED64EE" w:rsidP="00ED64EE">
            <w:pPr>
              <w:spacing w:before="60"/>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rPr>
              <w:t>Proficient</w:t>
            </w:r>
          </w:p>
        </w:tc>
        <w:tc>
          <w:tcPr>
            <w:tcW w:w="1422" w:type="dxa"/>
            <w:hideMark/>
          </w:tcPr>
          <w:p w14:paraId="076A3399" w14:textId="77777777" w:rsidR="00ED64EE" w:rsidRPr="00ED64EE" w:rsidRDefault="00ED64EE" w:rsidP="00ED64EE">
            <w:pPr>
              <w:spacing w:before="60"/>
              <w:jc w:val="center"/>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b/>
                <w:bCs/>
              </w:rPr>
            </w:pPr>
            <w:r w:rsidRPr="00ED64EE">
              <w:rPr>
                <w:rFonts w:ascii="Source Sans Pro" w:eastAsia="Calibri" w:hAnsi="Source Sans Pro" w:cs="Calibri"/>
                <w:b/>
                <w:bCs/>
              </w:rPr>
              <w:t>78,990</w:t>
            </w:r>
          </w:p>
        </w:tc>
        <w:tc>
          <w:tcPr>
            <w:tcW w:w="2410" w:type="dxa"/>
            <w:hideMark/>
          </w:tcPr>
          <w:p w14:paraId="104A3373" w14:textId="77777777" w:rsidR="00ED64EE" w:rsidRPr="00ED64EE" w:rsidRDefault="00ED64EE" w:rsidP="00ED64EE">
            <w:pPr>
              <w:spacing w:before="60"/>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rPr>
              <w:t>8%</w:t>
            </w:r>
          </w:p>
        </w:tc>
        <w:tc>
          <w:tcPr>
            <w:tcW w:w="2410" w:type="dxa"/>
            <w:hideMark/>
          </w:tcPr>
          <w:p w14:paraId="09A48578" w14:textId="77777777" w:rsidR="00ED64EE" w:rsidRPr="00ED64EE" w:rsidRDefault="00ED64EE" w:rsidP="00ED64EE">
            <w:pPr>
              <w:spacing w:before="60"/>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rPr>
              <w:t> Added to base</w:t>
            </w:r>
          </w:p>
        </w:tc>
      </w:tr>
      <w:tr w:rsidR="00ED64EE" w:rsidRPr="00ED64EE" w14:paraId="73DCEEFF" w14:textId="77777777" w:rsidTr="009C00DE">
        <w:trPr>
          <w:trHeight w:val="385"/>
        </w:trPr>
        <w:tc>
          <w:tcPr>
            <w:cnfStyle w:val="001000000000" w:firstRow="0" w:lastRow="0" w:firstColumn="1" w:lastColumn="0" w:oddVBand="0" w:evenVBand="0" w:oddHBand="0" w:evenHBand="0" w:firstRowFirstColumn="0" w:firstRowLastColumn="0" w:lastRowFirstColumn="0" w:lastRowLastColumn="0"/>
            <w:tcW w:w="993" w:type="dxa"/>
            <w:hideMark/>
          </w:tcPr>
          <w:p w14:paraId="44985AB7" w14:textId="77777777" w:rsidR="00ED64EE" w:rsidRPr="00ED64EE" w:rsidRDefault="00ED64EE" w:rsidP="00ED64EE">
            <w:pPr>
              <w:spacing w:before="60" w:after="60"/>
              <w:rPr>
                <w:rFonts w:ascii="Source Sans Pro" w:eastAsia="Calibri" w:hAnsi="Source Sans Pro" w:cs="Calibri"/>
              </w:rPr>
            </w:pPr>
            <w:r w:rsidRPr="00ED64EE">
              <w:rPr>
                <w:rFonts w:ascii="Source Sans Pro" w:eastAsia="Calibri" w:hAnsi="Source Sans Pro" w:cs="Calibri"/>
                <w:color w:val="000000"/>
              </w:rPr>
              <w:t>Level 5</w:t>
            </w:r>
          </w:p>
        </w:tc>
        <w:tc>
          <w:tcPr>
            <w:tcW w:w="2121" w:type="dxa"/>
            <w:hideMark/>
          </w:tcPr>
          <w:p w14:paraId="23DCEC09" w14:textId="77777777" w:rsidR="00ED64EE" w:rsidRPr="00ED64EE" w:rsidRDefault="00ED64EE" w:rsidP="00ED64EE">
            <w:pPr>
              <w:spacing w:before="60"/>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color w:val="000000"/>
              </w:rPr>
              <w:t>Expert</w:t>
            </w:r>
          </w:p>
        </w:tc>
        <w:tc>
          <w:tcPr>
            <w:tcW w:w="1422" w:type="dxa"/>
            <w:hideMark/>
          </w:tcPr>
          <w:p w14:paraId="6D57C8AB" w14:textId="77777777" w:rsidR="00ED64EE" w:rsidRPr="00ED64EE" w:rsidRDefault="00ED64EE" w:rsidP="00ED64EE">
            <w:pPr>
              <w:spacing w:before="60"/>
              <w:jc w:val="center"/>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b/>
                <w:bCs/>
              </w:rPr>
            </w:pPr>
            <w:r w:rsidRPr="00ED64EE">
              <w:rPr>
                <w:rFonts w:ascii="Source Sans Pro" w:eastAsia="Calibri" w:hAnsi="Source Sans Pro" w:cs="Calibri"/>
                <w:b/>
                <w:bCs/>
              </w:rPr>
              <w:t>81,600</w:t>
            </w:r>
          </w:p>
        </w:tc>
        <w:tc>
          <w:tcPr>
            <w:tcW w:w="2410" w:type="dxa"/>
            <w:hideMark/>
          </w:tcPr>
          <w:p w14:paraId="5BBA3930" w14:textId="77777777" w:rsidR="00ED64EE" w:rsidRPr="00ED64EE" w:rsidRDefault="00ED64EE" w:rsidP="00ED64EE">
            <w:pPr>
              <w:spacing w:before="60"/>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rPr>
              <w:t>10%</w:t>
            </w:r>
          </w:p>
        </w:tc>
        <w:tc>
          <w:tcPr>
            <w:tcW w:w="2410" w:type="dxa"/>
            <w:hideMark/>
          </w:tcPr>
          <w:p w14:paraId="1230C407" w14:textId="77777777" w:rsidR="00ED64EE" w:rsidRPr="00ED64EE" w:rsidRDefault="00ED64EE" w:rsidP="00ED64EE">
            <w:pPr>
              <w:spacing w:before="60"/>
              <w:cnfStyle w:val="000000000000" w:firstRow="0" w:lastRow="0" w:firstColumn="0" w:lastColumn="0" w:oddVBand="0" w:evenVBand="0" w:oddHBand="0"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rPr>
              <w:t> Added to base</w:t>
            </w:r>
          </w:p>
        </w:tc>
      </w:tr>
      <w:tr w:rsidR="00ED64EE" w:rsidRPr="00ED64EE" w14:paraId="18C2C9F6" w14:textId="77777777" w:rsidTr="00ED64EE">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993" w:type="dxa"/>
            <w:hideMark/>
          </w:tcPr>
          <w:p w14:paraId="7DC99E26" w14:textId="77777777" w:rsidR="00ED64EE" w:rsidRPr="00ED64EE" w:rsidRDefault="00ED64EE" w:rsidP="00ED64EE">
            <w:pPr>
              <w:spacing w:before="60" w:after="60"/>
              <w:rPr>
                <w:rFonts w:ascii="Source Sans Pro" w:eastAsia="Calibri" w:hAnsi="Source Sans Pro" w:cs="Calibri"/>
              </w:rPr>
            </w:pPr>
            <w:r w:rsidRPr="00ED64EE">
              <w:rPr>
                <w:rFonts w:ascii="Source Sans Pro" w:eastAsia="Calibri" w:hAnsi="Source Sans Pro" w:cs="Calibri"/>
                <w:color w:val="000000"/>
              </w:rPr>
              <w:t>Level 6</w:t>
            </w:r>
          </w:p>
        </w:tc>
        <w:tc>
          <w:tcPr>
            <w:tcW w:w="2121" w:type="dxa"/>
            <w:hideMark/>
          </w:tcPr>
          <w:p w14:paraId="3AC51F33" w14:textId="77777777" w:rsidR="00ED64EE" w:rsidRPr="00ED64EE" w:rsidRDefault="00ED64EE" w:rsidP="00ED64EE">
            <w:pPr>
              <w:spacing w:before="60"/>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rPr>
              <w:t>Auditor</w:t>
            </w:r>
          </w:p>
        </w:tc>
        <w:tc>
          <w:tcPr>
            <w:tcW w:w="1422" w:type="dxa"/>
            <w:hideMark/>
          </w:tcPr>
          <w:p w14:paraId="374ACA0F" w14:textId="77777777" w:rsidR="00ED64EE" w:rsidRPr="00ED64EE" w:rsidRDefault="00ED64EE" w:rsidP="00ED64EE">
            <w:pPr>
              <w:spacing w:before="60"/>
              <w:jc w:val="center"/>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b/>
                <w:bCs/>
              </w:rPr>
            </w:pPr>
            <w:r w:rsidRPr="00ED64EE">
              <w:rPr>
                <w:rFonts w:ascii="Source Sans Pro" w:eastAsia="Calibri" w:hAnsi="Source Sans Pro" w:cs="Calibri"/>
                <w:b/>
                <w:bCs/>
              </w:rPr>
              <w:t>86,700</w:t>
            </w:r>
          </w:p>
        </w:tc>
        <w:tc>
          <w:tcPr>
            <w:tcW w:w="2410" w:type="dxa"/>
            <w:hideMark/>
          </w:tcPr>
          <w:p w14:paraId="4B3675D1" w14:textId="77777777" w:rsidR="00ED64EE" w:rsidRPr="00ED64EE" w:rsidRDefault="00ED64EE" w:rsidP="00ED64EE">
            <w:pPr>
              <w:spacing w:before="60"/>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rPr>
              <w:t>10%</w:t>
            </w:r>
          </w:p>
        </w:tc>
        <w:tc>
          <w:tcPr>
            <w:tcW w:w="2410" w:type="dxa"/>
            <w:hideMark/>
          </w:tcPr>
          <w:p w14:paraId="0352C100" w14:textId="77777777" w:rsidR="00ED64EE" w:rsidRPr="00ED64EE" w:rsidRDefault="00ED64EE" w:rsidP="00ED64EE">
            <w:pPr>
              <w:spacing w:before="60"/>
              <w:cnfStyle w:val="000000100000" w:firstRow="0" w:lastRow="0" w:firstColumn="0" w:lastColumn="0" w:oddVBand="0" w:evenVBand="0" w:oddHBand="1" w:evenHBand="0" w:firstRowFirstColumn="0" w:firstRowLastColumn="0" w:lastRowFirstColumn="0" w:lastRowLastColumn="0"/>
              <w:rPr>
                <w:rFonts w:ascii="Source Sans Pro" w:eastAsia="Calibri" w:hAnsi="Source Sans Pro" w:cs="Calibri"/>
              </w:rPr>
            </w:pPr>
            <w:r w:rsidRPr="00ED64EE">
              <w:rPr>
                <w:rFonts w:ascii="Source Sans Pro" w:eastAsia="Calibri" w:hAnsi="Source Sans Pro" w:cs="Calibri"/>
              </w:rPr>
              <w:t>Appointed role</w:t>
            </w:r>
          </w:p>
        </w:tc>
      </w:tr>
    </w:tbl>
    <w:p w14:paraId="03CA9540" w14:textId="77777777" w:rsidR="00ED64EE" w:rsidRPr="00ED64EE" w:rsidRDefault="00ED64EE" w:rsidP="00ED64EE">
      <w:pPr>
        <w:spacing w:after="0" w:line="240" w:lineRule="auto"/>
        <w:rPr>
          <w:rFonts w:eastAsia="Calibri" w:cs="Times New Roman"/>
        </w:rPr>
      </w:pPr>
    </w:p>
    <w:p w14:paraId="6FAEFDD9" w14:textId="77777777" w:rsidR="00ED64EE" w:rsidRPr="00376BA1" w:rsidRDefault="00ED64EE" w:rsidP="000A2F0F">
      <w:pPr>
        <w:rPr>
          <w:b/>
          <w:bCs/>
          <w:sz w:val="24"/>
          <w:szCs w:val="24"/>
        </w:rPr>
      </w:pPr>
    </w:p>
    <w:p w14:paraId="7EB87C93" w14:textId="2D8A230E" w:rsidR="00F81EC2" w:rsidRDefault="00F81EC2">
      <w:pPr>
        <w:rPr>
          <w:rFonts w:eastAsiaTheme="majorEastAsia" w:cstheme="majorBidi"/>
          <w:b/>
          <w:noProof/>
          <w:color w:val="92B523" w:themeColor="accent1"/>
          <w:sz w:val="28"/>
          <w:szCs w:val="26"/>
          <w:lang w:eastAsia="en-NZ"/>
        </w:rPr>
      </w:pPr>
      <w:r>
        <w:br w:type="page"/>
      </w:r>
    </w:p>
    <w:sectPr w:rsidR="00F81EC2" w:rsidSect="007B6F22">
      <w:headerReference w:type="even" r:id="rId19"/>
      <w:headerReference w:type="default" r:id="rId20"/>
      <w:footerReference w:type="default" r:id="rId21"/>
      <w:headerReference w:type="first" r:id="rId22"/>
      <w:pgSz w:w="11906" w:h="16838"/>
      <w:pgMar w:top="709" w:right="113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2D933" w14:textId="77777777" w:rsidR="000313F4" w:rsidRDefault="000313F4" w:rsidP="00D91180">
      <w:pPr>
        <w:spacing w:after="0" w:line="240" w:lineRule="auto"/>
      </w:pPr>
      <w:r>
        <w:separator/>
      </w:r>
    </w:p>
    <w:p w14:paraId="65F35B3B" w14:textId="77777777" w:rsidR="000313F4" w:rsidRDefault="000313F4"/>
    <w:p w14:paraId="43FFE13E" w14:textId="77777777" w:rsidR="000313F4" w:rsidRDefault="000313F4"/>
  </w:endnote>
  <w:endnote w:type="continuationSeparator" w:id="0">
    <w:p w14:paraId="65D631B9" w14:textId="77777777" w:rsidR="000313F4" w:rsidRDefault="000313F4" w:rsidP="00D91180">
      <w:pPr>
        <w:spacing w:after="0" w:line="240" w:lineRule="auto"/>
      </w:pPr>
      <w:r>
        <w:continuationSeparator/>
      </w:r>
    </w:p>
    <w:p w14:paraId="653E862F" w14:textId="77777777" w:rsidR="000313F4" w:rsidRDefault="000313F4"/>
    <w:p w14:paraId="2AAE9C35" w14:textId="77777777" w:rsidR="000313F4" w:rsidRDefault="00031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83352"/>
      <w:docPartObj>
        <w:docPartGallery w:val="Page Numbers (Bottom of Page)"/>
        <w:docPartUnique/>
      </w:docPartObj>
    </w:sdtPr>
    <w:sdtEndPr>
      <w:rPr>
        <w:noProof/>
      </w:rPr>
    </w:sdtEndPr>
    <w:sdtContent>
      <w:p w14:paraId="1B48D132" w14:textId="4463D3A7" w:rsidR="00462912" w:rsidRDefault="00462912">
        <w:pPr>
          <w:pStyle w:val="Footer"/>
          <w:jc w:val="right"/>
        </w:pPr>
        <w:r>
          <w:fldChar w:fldCharType="begin"/>
        </w:r>
        <w:r>
          <w:instrText xml:space="preserve"> PAGE   \* MERGEFORMAT </w:instrText>
        </w:r>
        <w:r>
          <w:fldChar w:fldCharType="separate"/>
        </w:r>
        <w:r w:rsidR="004111A0">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47079" w14:textId="77777777" w:rsidR="000313F4" w:rsidRDefault="000313F4" w:rsidP="00D91180">
      <w:pPr>
        <w:spacing w:after="0" w:line="240" w:lineRule="auto"/>
      </w:pPr>
      <w:r>
        <w:separator/>
      </w:r>
    </w:p>
    <w:p w14:paraId="514B80F0" w14:textId="77777777" w:rsidR="000313F4" w:rsidRDefault="000313F4"/>
    <w:p w14:paraId="589E4CC1" w14:textId="77777777" w:rsidR="000313F4" w:rsidRDefault="000313F4"/>
  </w:footnote>
  <w:footnote w:type="continuationSeparator" w:id="0">
    <w:p w14:paraId="557FC29A" w14:textId="77777777" w:rsidR="000313F4" w:rsidRDefault="000313F4" w:rsidP="00D91180">
      <w:pPr>
        <w:spacing w:after="0" w:line="240" w:lineRule="auto"/>
      </w:pPr>
      <w:r>
        <w:continuationSeparator/>
      </w:r>
    </w:p>
    <w:p w14:paraId="21596D2E" w14:textId="77777777" w:rsidR="000313F4" w:rsidRDefault="000313F4"/>
    <w:p w14:paraId="7EBE5260" w14:textId="77777777" w:rsidR="000313F4" w:rsidRDefault="000313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C8B4" w14:textId="1CC98571" w:rsidR="00462912" w:rsidRDefault="00462912">
    <w:pPr>
      <w:pStyle w:val="Header"/>
    </w:pPr>
    <w:r>
      <w:rPr>
        <w:noProof/>
        <w:lang w:eastAsia="en-NZ"/>
      </w:rPr>
      <mc:AlternateContent>
        <mc:Choice Requires="wps">
          <w:drawing>
            <wp:anchor distT="0" distB="0" distL="0" distR="0" simplePos="0" relativeHeight="251659264" behindDoc="0" locked="0" layoutInCell="1" allowOverlap="1" wp14:anchorId="7A110655" wp14:editId="70AD2978">
              <wp:simplePos x="635" y="635"/>
              <wp:positionH relativeFrom="column">
                <wp:align>center</wp:align>
              </wp:positionH>
              <wp:positionV relativeFrom="paragraph">
                <wp:posOffset>635</wp:posOffset>
              </wp:positionV>
              <wp:extent cx="443865" cy="443865"/>
              <wp:effectExtent l="0" t="0" r="5080" b="17145"/>
              <wp:wrapSquare wrapText="bothSides"/>
              <wp:docPr id="3" name="Text Box 3"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DDF814" w14:textId="6482E44A" w:rsidR="00462912" w:rsidRPr="00511281" w:rsidRDefault="00462912">
                          <w:pPr>
                            <w:rPr>
                              <w:rFonts w:eastAsia="Calibri" w:cs="Calibri"/>
                              <w:color w:val="000000"/>
                              <w:sz w:val="20"/>
                              <w:szCs w:val="20"/>
                            </w:rPr>
                          </w:pPr>
                          <w:r w:rsidRPr="00511281">
                            <w:rPr>
                              <w:rFonts w:eastAsia="Calibri" w:cs="Calibri"/>
                              <w:color w:val="000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110655" id="_x0000_t202" coordsize="21600,21600" o:spt="202" path="m,l,21600r21600,l21600,xe">
              <v:stroke joinstyle="miter"/>
              <v:path gradientshapeok="t" o:connecttype="rect"/>
            </v:shapetype>
            <v:shape id="Text Box 3" o:spid="_x0000_s1026" type="#_x0000_t202" alt="UNCLASSIFI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4ia6/SUCAABKBAAADgAAAAAAAAAAAAAAAAAuAgAAZHJzL2Uyb0RvYy54bWxQSwEC&#10;LQAUAAYACAAAACEAhLDTKNYAAAADAQAADwAAAAAAAAAAAAAAAAB/BAAAZHJzL2Rvd25yZXYueG1s&#10;UEsFBgAAAAAEAAQA8wAAAIIFAAAAAA==&#10;" filled="f" stroked="f">
              <v:textbox style="mso-fit-shape-to-text:t" inset="0,0,0,0">
                <w:txbxContent>
                  <w:p w14:paraId="3EDDF814" w14:textId="6482E44A" w:rsidR="00462912" w:rsidRPr="00511281" w:rsidRDefault="00462912">
                    <w:pPr>
                      <w:rPr>
                        <w:rFonts w:eastAsia="Calibri" w:cs="Calibri"/>
                        <w:color w:val="000000"/>
                        <w:sz w:val="20"/>
                        <w:szCs w:val="20"/>
                      </w:rPr>
                    </w:pPr>
                    <w:r w:rsidRPr="00511281">
                      <w:rPr>
                        <w:rFonts w:eastAsia="Calibri" w:cs="Calibri"/>
                        <w:color w:val="000000"/>
                        <w:sz w:val="20"/>
                        <w:szCs w:val="20"/>
                      </w:rPr>
                      <w:t>UNCLASSIFIED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2854" w14:textId="34B37083" w:rsidR="00974DB4" w:rsidRPr="00974DB4" w:rsidRDefault="00974DB4" w:rsidP="00974DB4">
    <w:pPr>
      <w:pStyle w:val="Header"/>
      <w:spacing w:after="240"/>
      <w:rPr>
        <w:b/>
        <w:bCs/>
        <w:sz w:val="32"/>
        <w:szCs w:val="32"/>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44D6" w14:textId="4AEC0DF1" w:rsidR="00462912" w:rsidRPr="00B47806" w:rsidRDefault="00462912" w:rsidP="0045077A">
    <w:pPr>
      <w:pStyle w:val="Header"/>
      <w:jc w:val="center"/>
      <w:rPr>
        <w:lang w:val="en-US"/>
      </w:rPr>
    </w:pPr>
    <w:r>
      <w:rPr>
        <w:noProof/>
        <w:lang w:eastAsia="en-NZ"/>
      </w:rPr>
      <mc:AlternateContent>
        <mc:Choice Requires="wps">
          <w:drawing>
            <wp:anchor distT="0" distB="0" distL="0" distR="0" simplePos="0" relativeHeight="251658240" behindDoc="0" locked="0" layoutInCell="1" allowOverlap="1" wp14:anchorId="5CDFA9A5" wp14:editId="3B709594">
              <wp:simplePos x="635" y="635"/>
              <wp:positionH relativeFrom="column">
                <wp:align>center</wp:align>
              </wp:positionH>
              <wp:positionV relativeFrom="paragraph">
                <wp:posOffset>635</wp:posOffset>
              </wp:positionV>
              <wp:extent cx="443865" cy="443865"/>
              <wp:effectExtent l="0" t="0" r="5080" b="17145"/>
              <wp:wrapSquare wrapText="bothSides"/>
              <wp:docPr id="2" name="Text Box 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F19B4E" w14:textId="3CDFD521" w:rsidR="00462912" w:rsidRPr="00511281" w:rsidRDefault="00462912">
                          <w:pPr>
                            <w:rPr>
                              <w:rFonts w:eastAsia="Calibri" w:cs="Calibri"/>
                              <w:color w:val="000000"/>
                              <w:sz w:val="20"/>
                              <w:szCs w:val="20"/>
                            </w:rPr>
                          </w:pPr>
                          <w:r w:rsidRPr="00511281">
                            <w:rPr>
                              <w:rFonts w:eastAsia="Calibri" w:cs="Calibri"/>
                              <w:color w:val="000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CDFA9A5" id="_x0000_t202" coordsize="21600,21600" o:spt="202" path="m,l,21600r21600,l21600,xe">
              <v:stroke joinstyle="miter"/>
              <v:path gradientshapeok="t" o:connecttype="rect"/>
            </v:shapetype>
            <v:shape id="Text Box 2" o:spid="_x0000_s1027" type="#_x0000_t202" alt="UNCLASSIFIED"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ByCaHtJwIAAFEEAAAOAAAAAAAAAAAAAAAAAC4CAABkcnMvZTJvRG9jLnhtbFBL&#10;AQItABQABgAIAAAAIQCEsNMo1gAAAAMBAAAPAAAAAAAAAAAAAAAAAIEEAABkcnMvZG93bnJldi54&#10;bWxQSwUGAAAAAAQABADzAAAAhAUAAAAA&#10;" filled="f" stroked="f">
              <v:textbox style="mso-fit-shape-to-text:t" inset="0,0,0,0">
                <w:txbxContent>
                  <w:p w14:paraId="51F19B4E" w14:textId="3CDFD521" w:rsidR="00462912" w:rsidRPr="00511281" w:rsidRDefault="00462912">
                    <w:pPr>
                      <w:rPr>
                        <w:rFonts w:eastAsia="Calibri" w:cs="Calibri"/>
                        <w:color w:val="000000"/>
                        <w:sz w:val="20"/>
                        <w:szCs w:val="20"/>
                      </w:rPr>
                    </w:pPr>
                    <w:r w:rsidRPr="00511281">
                      <w:rPr>
                        <w:rFonts w:eastAsia="Calibri" w:cs="Calibri"/>
                        <w:color w:val="000000"/>
                        <w:sz w:val="20"/>
                        <w:szCs w:val="20"/>
                      </w:rPr>
                      <w:t>UNCLASSIFIED</w:t>
                    </w:r>
                  </w:p>
                </w:txbxContent>
              </v:textbox>
              <w10:wrap type="square"/>
            </v:shape>
          </w:pict>
        </mc:Fallback>
      </mc:AlternateContent>
    </w:r>
    <w:r>
      <w:rPr>
        <w:lang w:val="en-US"/>
      </w:rPr>
      <w:t>DRAFT 16 March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013E"/>
    <w:multiLevelType w:val="multilevel"/>
    <w:tmpl w:val="15EA18DE"/>
    <w:lvl w:ilvl="0">
      <w:start w:val="1"/>
      <w:numFmt w:val="bullet"/>
      <w:lvlText w:val=""/>
      <w:lvlJc w:val="left"/>
      <w:pPr>
        <w:tabs>
          <w:tab w:val="num" w:pos="567"/>
        </w:tabs>
        <w:ind w:left="567" w:hanging="283"/>
      </w:pPr>
      <w:rPr>
        <w:rFonts w:ascii="Wingdings" w:hAnsi="Wingdings" w:hint="default"/>
        <w:color w:val="000000" w:themeColor="text1"/>
      </w:rPr>
    </w:lvl>
    <w:lvl w:ilvl="1">
      <w:start w:val="1"/>
      <w:numFmt w:val="bullet"/>
      <w:pStyle w:val="ListBullet2End"/>
      <w:lvlText w:val="­"/>
      <w:lvlJc w:val="left"/>
      <w:pPr>
        <w:ind w:left="851" w:hanging="284"/>
      </w:pPr>
      <w:rPr>
        <w:rFonts w:ascii="Courier New" w:hAnsi="Courier New" w:hint="default"/>
        <w:color w:val="auto"/>
      </w:rPr>
    </w:lvl>
    <w:lvl w:ilvl="2">
      <w:start w:val="1"/>
      <w:numFmt w:val="bullet"/>
      <w:pStyle w:val="ListBullet3End"/>
      <w:lvlText w:val="­"/>
      <w:lvlJc w:val="left"/>
      <w:pPr>
        <w:ind w:left="1134" w:hanging="283"/>
      </w:pPr>
      <w:rPr>
        <w:rFonts w:ascii="Century Gothic" w:hAnsi="Century Gothic"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B65B98"/>
    <w:multiLevelType w:val="hybridMultilevel"/>
    <w:tmpl w:val="566035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DA36134"/>
    <w:multiLevelType w:val="hybridMultilevel"/>
    <w:tmpl w:val="A1362672"/>
    <w:lvl w:ilvl="0" w:tplc="FFFFFFFF">
      <w:start w:val="1"/>
      <w:numFmt w:val="bullet"/>
      <w:lvlText w:val=""/>
      <w:lvlJc w:val="left"/>
      <w:pPr>
        <w:ind w:left="720" w:hanging="360"/>
      </w:pPr>
      <w:rPr>
        <w:rFonts w:ascii="Symbol" w:hAnsi="Symbol" w:hint="default"/>
      </w:rPr>
    </w:lvl>
    <w:lvl w:ilvl="1" w:tplc="AB44BF32">
      <w:numFmt w:val="bullet"/>
      <w:lvlText w:val="-"/>
      <w:lvlJc w:val="left"/>
      <w:pPr>
        <w:ind w:left="1440" w:hanging="360"/>
      </w:pPr>
      <w:rPr>
        <w:rFonts w:ascii="Source Sans Pro" w:eastAsiaTheme="minorHAnsi" w:hAnsi="Source Sans Pro" w:cstheme="minorHAns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4E129E2"/>
    <w:multiLevelType w:val="hybridMultilevel"/>
    <w:tmpl w:val="5A526C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613BC0"/>
    <w:multiLevelType w:val="hybridMultilevel"/>
    <w:tmpl w:val="07465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6905DB"/>
    <w:multiLevelType w:val="hybridMultilevel"/>
    <w:tmpl w:val="C51E8A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F4F5DF6"/>
    <w:multiLevelType w:val="hybridMultilevel"/>
    <w:tmpl w:val="DFB6C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B17587D"/>
    <w:multiLevelType w:val="hybridMultilevel"/>
    <w:tmpl w:val="0B6EC120"/>
    <w:lvl w:ilvl="0" w:tplc="14090001">
      <w:start w:val="1"/>
      <w:numFmt w:val="bullet"/>
      <w:lvlText w:val=""/>
      <w:lvlJc w:val="left"/>
      <w:pPr>
        <w:ind w:left="720" w:hanging="360"/>
      </w:pPr>
      <w:rPr>
        <w:rFonts w:ascii="Symbol" w:hAnsi="Symbol" w:hint="default"/>
      </w:rPr>
    </w:lvl>
    <w:lvl w:ilvl="1" w:tplc="917E1876">
      <w:start w:val="1"/>
      <w:numFmt w:val="bullet"/>
      <w:lvlText w:val="­"/>
      <w:lvlJc w:val="left"/>
      <w:pPr>
        <w:ind w:left="1440" w:hanging="360"/>
      </w:pPr>
      <w:rPr>
        <w:rFonts w:ascii="Courier New" w:hAnsi="Courier New" w:hint="default"/>
      </w:rPr>
    </w:lvl>
    <w:lvl w:ilvl="2" w:tplc="6E844456">
      <w:numFmt w:val="bullet"/>
      <w:lvlText w:val="•"/>
      <w:lvlJc w:val="left"/>
      <w:pPr>
        <w:ind w:left="2520" w:hanging="720"/>
      </w:pPr>
      <w:rPr>
        <w:rFonts w:ascii="Century Gothic" w:eastAsiaTheme="minorHAnsi" w:hAnsi="Century Gothic" w:cstheme="minorBidi"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28D7690"/>
    <w:multiLevelType w:val="hybridMultilevel"/>
    <w:tmpl w:val="8034EE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329F37B9"/>
    <w:multiLevelType w:val="hybridMultilevel"/>
    <w:tmpl w:val="0C7681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53C0535"/>
    <w:multiLevelType w:val="multilevel"/>
    <w:tmpl w:val="984063CA"/>
    <w:lvl w:ilvl="0">
      <w:start w:val="1"/>
      <w:numFmt w:val="bullet"/>
      <w:pStyle w:val="ListBullet"/>
      <w:lvlText w:val=""/>
      <w:lvlJc w:val="left"/>
      <w:pPr>
        <w:ind w:left="567" w:hanging="283"/>
      </w:pPr>
      <w:rPr>
        <w:rFonts w:ascii="Wingdings" w:hAnsi="Wingdings" w:hint="default"/>
        <w:color w:val="000000" w:themeColor="text1"/>
      </w:rPr>
    </w:lvl>
    <w:lvl w:ilvl="1">
      <w:start w:val="1"/>
      <w:numFmt w:val="bullet"/>
      <w:pStyle w:val="ListBullet2"/>
      <w:lvlText w:val="­"/>
      <w:lvlJc w:val="left"/>
      <w:pPr>
        <w:ind w:left="851" w:hanging="284"/>
      </w:pPr>
      <w:rPr>
        <w:rFonts w:ascii="Courier New" w:hAnsi="Courier New" w:hint="default"/>
        <w:color w:val="auto"/>
      </w:rPr>
    </w:lvl>
    <w:lvl w:ilvl="2">
      <w:start w:val="1"/>
      <w:numFmt w:val="bullet"/>
      <w:pStyle w:val="ListBullet3"/>
      <w:lvlText w:val="­"/>
      <w:lvlJc w:val="left"/>
      <w:pPr>
        <w:ind w:left="1134" w:hanging="283"/>
      </w:pPr>
      <w:rPr>
        <w:rFonts w:ascii="Century Gothic" w:hAnsi="Century Gothic"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DF64D0D"/>
    <w:multiLevelType w:val="hybridMultilevel"/>
    <w:tmpl w:val="6F9046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15C23CF"/>
    <w:multiLevelType w:val="hybridMultilevel"/>
    <w:tmpl w:val="C730F092"/>
    <w:lvl w:ilvl="0" w:tplc="14090001">
      <w:start w:val="1"/>
      <w:numFmt w:val="bullet"/>
      <w:lvlText w:val=""/>
      <w:lvlJc w:val="left"/>
      <w:pPr>
        <w:ind w:left="947" w:hanging="360"/>
      </w:pPr>
      <w:rPr>
        <w:rFonts w:ascii="Symbol" w:hAnsi="Symbol" w:hint="default"/>
      </w:rPr>
    </w:lvl>
    <w:lvl w:ilvl="1" w:tplc="14090003" w:tentative="1">
      <w:start w:val="1"/>
      <w:numFmt w:val="bullet"/>
      <w:lvlText w:val="o"/>
      <w:lvlJc w:val="left"/>
      <w:pPr>
        <w:ind w:left="1667" w:hanging="360"/>
      </w:pPr>
      <w:rPr>
        <w:rFonts w:ascii="Courier New" w:hAnsi="Courier New" w:cs="Courier New" w:hint="default"/>
      </w:rPr>
    </w:lvl>
    <w:lvl w:ilvl="2" w:tplc="14090005" w:tentative="1">
      <w:start w:val="1"/>
      <w:numFmt w:val="bullet"/>
      <w:lvlText w:val=""/>
      <w:lvlJc w:val="left"/>
      <w:pPr>
        <w:ind w:left="2387" w:hanging="360"/>
      </w:pPr>
      <w:rPr>
        <w:rFonts w:ascii="Wingdings" w:hAnsi="Wingdings" w:hint="default"/>
      </w:rPr>
    </w:lvl>
    <w:lvl w:ilvl="3" w:tplc="14090001" w:tentative="1">
      <w:start w:val="1"/>
      <w:numFmt w:val="bullet"/>
      <w:lvlText w:val=""/>
      <w:lvlJc w:val="left"/>
      <w:pPr>
        <w:ind w:left="3107" w:hanging="360"/>
      </w:pPr>
      <w:rPr>
        <w:rFonts w:ascii="Symbol" w:hAnsi="Symbol" w:hint="default"/>
      </w:rPr>
    </w:lvl>
    <w:lvl w:ilvl="4" w:tplc="14090003" w:tentative="1">
      <w:start w:val="1"/>
      <w:numFmt w:val="bullet"/>
      <w:lvlText w:val="o"/>
      <w:lvlJc w:val="left"/>
      <w:pPr>
        <w:ind w:left="3827" w:hanging="360"/>
      </w:pPr>
      <w:rPr>
        <w:rFonts w:ascii="Courier New" w:hAnsi="Courier New" w:cs="Courier New" w:hint="default"/>
      </w:rPr>
    </w:lvl>
    <w:lvl w:ilvl="5" w:tplc="14090005" w:tentative="1">
      <w:start w:val="1"/>
      <w:numFmt w:val="bullet"/>
      <w:lvlText w:val=""/>
      <w:lvlJc w:val="left"/>
      <w:pPr>
        <w:ind w:left="4547" w:hanging="360"/>
      </w:pPr>
      <w:rPr>
        <w:rFonts w:ascii="Wingdings" w:hAnsi="Wingdings" w:hint="default"/>
      </w:rPr>
    </w:lvl>
    <w:lvl w:ilvl="6" w:tplc="14090001" w:tentative="1">
      <w:start w:val="1"/>
      <w:numFmt w:val="bullet"/>
      <w:lvlText w:val=""/>
      <w:lvlJc w:val="left"/>
      <w:pPr>
        <w:ind w:left="5267" w:hanging="360"/>
      </w:pPr>
      <w:rPr>
        <w:rFonts w:ascii="Symbol" w:hAnsi="Symbol" w:hint="default"/>
      </w:rPr>
    </w:lvl>
    <w:lvl w:ilvl="7" w:tplc="14090003" w:tentative="1">
      <w:start w:val="1"/>
      <w:numFmt w:val="bullet"/>
      <w:lvlText w:val="o"/>
      <w:lvlJc w:val="left"/>
      <w:pPr>
        <w:ind w:left="5987" w:hanging="360"/>
      </w:pPr>
      <w:rPr>
        <w:rFonts w:ascii="Courier New" w:hAnsi="Courier New" w:cs="Courier New" w:hint="default"/>
      </w:rPr>
    </w:lvl>
    <w:lvl w:ilvl="8" w:tplc="14090005" w:tentative="1">
      <w:start w:val="1"/>
      <w:numFmt w:val="bullet"/>
      <w:lvlText w:val=""/>
      <w:lvlJc w:val="left"/>
      <w:pPr>
        <w:ind w:left="6707" w:hanging="360"/>
      </w:pPr>
      <w:rPr>
        <w:rFonts w:ascii="Wingdings" w:hAnsi="Wingdings" w:hint="default"/>
      </w:rPr>
    </w:lvl>
  </w:abstractNum>
  <w:abstractNum w:abstractNumId="13" w15:restartNumberingAfterBreak="0">
    <w:nsid w:val="47FD7B9F"/>
    <w:multiLevelType w:val="hybridMultilevel"/>
    <w:tmpl w:val="A44EAEDC"/>
    <w:lvl w:ilvl="0" w:tplc="1409000F">
      <w:start w:val="1"/>
      <w:numFmt w:val="decimal"/>
      <w:lvlText w:val="%1."/>
      <w:lvlJc w:val="left"/>
      <w:pPr>
        <w:ind w:left="644" w:hanging="360"/>
      </w:pPr>
    </w:lvl>
    <w:lvl w:ilvl="1" w:tplc="14090019" w:tentative="1">
      <w:start w:val="1"/>
      <w:numFmt w:val="lowerLetter"/>
      <w:lvlText w:val="%2."/>
      <w:lvlJc w:val="left"/>
      <w:pPr>
        <w:ind w:left="1487" w:hanging="360"/>
      </w:pPr>
    </w:lvl>
    <w:lvl w:ilvl="2" w:tplc="1409001B" w:tentative="1">
      <w:start w:val="1"/>
      <w:numFmt w:val="lowerRoman"/>
      <w:lvlText w:val="%3."/>
      <w:lvlJc w:val="right"/>
      <w:pPr>
        <w:ind w:left="2207" w:hanging="180"/>
      </w:pPr>
    </w:lvl>
    <w:lvl w:ilvl="3" w:tplc="1409000F" w:tentative="1">
      <w:start w:val="1"/>
      <w:numFmt w:val="decimal"/>
      <w:lvlText w:val="%4."/>
      <w:lvlJc w:val="left"/>
      <w:pPr>
        <w:ind w:left="2927" w:hanging="360"/>
      </w:pPr>
    </w:lvl>
    <w:lvl w:ilvl="4" w:tplc="14090019" w:tentative="1">
      <w:start w:val="1"/>
      <w:numFmt w:val="lowerLetter"/>
      <w:lvlText w:val="%5."/>
      <w:lvlJc w:val="left"/>
      <w:pPr>
        <w:ind w:left="3647" w:hanging="360"/>
      </w:pPr>
    </w:lvl>
    <w:lvl w:ilvl="5" w:tplc="1409001B" w:tentative="1">
      <w:start w:val="1"/>
      <w:numFmt w:val="lowerRoman"/>
      <w:lvlText w:val="%6."/>
      <w:lvlJc w:val="right"/>
      <w:pPr>
        <w:ind w:left="4367" w:hanging="180"/>
      </w:pPr>
    </w:lvl>
    <w:lvl w:ilvl="6" w:tplc="1409000F" w:tentative="1">
      <w:start w:val="1"/>
      <w:numFmt w:val="decimal"/>
      <w:lvlText w:val="%7."/>
      <w:lvlJc w:val="left"/>
      <w:pPr>
        <w:ind w:left="5087" w:hanging="360"/>
      </w:pPr>
    </w:lvl>
    <w:lvl w:ilvl="7" w:tplc="14090019" w:tentative="1">
      <w:start w:val="1"/>
      <w:numFmt w:val="lowerLetter"/>
      <w:lvlText w:val="%8."/>
      <w:lvlJc w:val="left"/>
      <w:pPr>
        <w:ind w:left="5807" w:hanging="360"/>
      </w:pPr>
    </w:lvl>
    <w:lvl w:ilvl="8" w:tplc="1409001B" w:tentative="1">
      <w:start w:val="1"/>
      <w:numFmt w:val="lowerRoman"/>
      <w:lvlText w:val="%9."/>
      <w:lvlJc w:val="right"/>
      <w:pPr>
        <w:ind w:left="6527" w:hanging="180"/>
      </w:pPr>
    </w:lvl>
  </w:abstractNum>
  <w:abstractNum w:abstractNumId="14" w15:restartNumberingAfterBreak="0">
    <w:nsid w:val="4CCC7711"/>
    <w:multiLevelType w:val="hybridMultilevel"/>
    <w:tmpl w:val="5598274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1AB4C28"/>
    <w:multiLevelType w:val="hybridMultilevel"/>
    <w:tmpl w:val="832EE8C4"/>
    <w:lvl w:ilvl="0" w:tplc="449808A4">
      <w:start w:val="1"/>
      <w:numFmt w:val="bullet"/>
      <w:pStyle w:val="Bullets"/>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3466DCA"/>
    <w:multiLevelType w:val="hybridMultilevel"/>
    <w:tmpl w:val="D2A813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5C826F8"/>
    <w:multiLevelType w:val="hybridMultilevel"/>
    <w:tmpl w:val="7AACB4D4"/>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8D9408F"/>
    <w:multiLevelType w:val="hybridMultilevel"/>
    <w:tmpl w:val="BFB2C7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6AB77F3"/>
    <w:multiLevelType w:val="hybridMultilevel"/>
    <w:tmpl w:val="E17E3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EA50DC6"/>
    <w:multiLevelType w:val="hybridMultilevel"/>
    <w:tmpl w:val="1A3CCE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D686433"/>
    <w:multiLevelType w:val="hybridMultilevel"/>
    <w:tmpl w:val="A06019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5"/>
  </w:num>
  <w:num w:numId="2">
    <w:abstractNumId w:val="20"/>
  </w:num>
  <w:num w:numId="3">
    <w:abstractNumId w:val="4"/>
  </w:num>
  <w:num w:numId="4">
    <w:abstractNumId w:val="19"/>
  </w:num>
  <w:num w:numId="5">
    <w:abstractNumId w:val="11"/>
  </w:num>
  <w:num w:numId="6">
    <w:abstractNumId w:val="13"/>
  </w:num>
  <w:num w:numId="7">
    <w:abstractNumId w:val="3"/>
  </w:num>
  <w:num w:numId="8">
    <w:abstractNumId w:val="14"/>
  </w:num>
  <w:num w:numId="9">
    <w:abstractNumId w:val="9"/>
  </w:num>
  <w:num w:numId="10">
    <w:abstractNumId w:val="10"/>
  </w:num>
  <w:num w:numId="11">
    <w:abstractNumId w:val="0"/>
  </w:num>
  <w:num w:numId="12">
    <w:abstractNumId w:val="21"/>
  </w:num>
  <w:num w:numId="13">
    <w:abstractNumId w:val="5"/>
  </w:num>
  <w:num w:numId="14">
    <w:abstractNumId w:val="8"/>
  </w:num>
  <w:num w:numId="15">
    <w:abstractNumId w:val="10"/>
  </w:num>
  <w:num w:numId="16">
    <w:abstractNumId w:val="15"/>
  </w:num>
  <w:num w:numId="17">
    <w:abstractNumId w:val="17"/>
  </w:num>
  <w:num w:numId="18">
    <w:abstractNumId w:val="1"/>
  </w:num>
  <w:num w:numId="19">
    <w:abstractNumId w:val="18"/>
  </w:num>
  <w:num w:numId="20">
    <w:abstractNumId w:val="16"/>
  </w:num>
  <w:num w:numId="21">
    <w:abstractNumId w:val="7"/>
  </w:num>
  <w:num w:numId="22">
    <w:abstractNumId w:val="12"/>
  </w:num>
  <w:num w:numId="23">
    <w:abstractNumId w:val="2"/>
  </w:num>
  <w:num w:numId="24">
    <w:abstractNumId w:val="15"/>
  </w:num>
  <w:num w:numId="25">
    <w:abstractNumId w:val="15"/>
  </w:num>
  <w:num w:numId="26">
    <w:abstractNumId w:val="6"/>
  </w:num>
  <w:num w:numId="2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045"/>
    <w:rsid w:val="00000F0B"/>
    <w:rsid w:val="000034B2"/>
    <w:rsid w:val="00004015"/>
    <w:rsid w:val="00004D93"/>
    <w:rsid w:val="00005835"/>
    <w:rsid w:val="00010C03"/>
    <w:rsid w:val="000124A8"/>
    <w:rsid w:val="0001556E"/>
    <w:rsid w:val="00015756"/>
    <w:rsid w:val="00023F28"/>
    <w:rsid w:val="0002542C"/>
    <w:rsid w:val="00025CDF"/>
    <w:rsid w:val="00030B48"/>
    <w:rsid w:val="000313F4"/>
    <w:rsid w:val="00031646"/>
    <w:rsid w:val="00032A1C"/>
    <w:rsid w:val="000377F2"/>
    <w:rsid w:val="00040293"/>
    <w:rsid w:val="000404A9"/>
    <w:rsid w:val="00042885"/>
    <w:rsid w:val="00042BF1"/>
    <w:rsid w:val="00044E27"/>
    <w:rsid w:val="00047DDA"/>
    <w:rsid w:val="00052A46"/>
    <w:rsid w:val="00053BBD"/>
    <w:rsid w:val="00053E09"/>
    <w:rsid w:val="000565BE"/>
    <w:rsid w:val="00056BAC"/>
    <w:rsid w:val="00056D4F"/>
    <w:rsid w:val="00063538"/>
    <w:rsid w:val="00064ED6"/>
    <w:rsid w:val="00065384"/>
    <w:rsid w:val="00066BB4"/>
    <w:rsid w:val="00067EA8"/>
    <w:rsid w:val="00070F6F"/>
    <w:rsid w:val="0007180E"/>
    <w:rsid w:val="0007489C"/>
    <w:rsid w:val="00074CF6"/>
    <w:rsid w:val="00075067"/>
    <w:rsid w:val="00084275"/>
    <w:rsid w:val="00084760"/>
    <w:rsid w:val="000849D0"/>
    <w:rsid w:val="00084FB9"/>
    <w:rsid w:val="000867B0"/>
    <w:rsid w:val="00091EC6"/>
    <w:rsid w:val="000922EC"/>
    <w:rsid w:val="00092629"/>
    <w:rsid w:val="00096954"/>
    <w:rsid w:val="000975E7"/>
    <w:rsid w:val="00097F08"/>
    <w:rsid w:val="000A1D5A"/>
    <w:rsid w:val="000A2712"/>
    <w:rsid w:val="000A2759"/>
    <w:rsid w:val="000A2F0F"/>
    <w:rsid w:val="000A4BE6"/>
    <w:rsid w:val="000A54B7"/>
    <w:rsid w:val="000A5BFC"/>
    <w:rsid w:val="000A66CB"/>
    <w:rsid w:val="000A6D6C"/>
    <w:rsid w:val="000A7BE5"/>
    <w:rsid w:val="000B0B2F"/>
    <w:rsid w:val="000B1143"/>
    <w:rsid w:val="000B1759"/>
    <w:rsid w:val="000B63CF"/>
    <w:rsid w:val="000C01BE"/>
    <w:rsid w:val="000C1112"/>
    <w:rsid w:val="000C1464"/>
    <w:rsid w:val="000C3993"/>
    <w:rsid w:val="000C523A"/>
    <w:rsid w:val="000C578D"/>
    <w:rsid w:val="000C644F"/>
    <w:rsid w:val="000D251E"/>
    <w:rsid w:val="000D3BC8"/>
    <w:rsid w:val="000D41BB"/>
    <w:rsid w:val="000D4BF9"/>
    <w:rsid w:val="000E011A"/>
    <w:rsid w:val="000E2763"/>
    <w:rsid w:val="000E2B59"/>
    <w:rsid w:val="000E2C5B"/>
    <w:rsid w:val="000E5C03"/>
    <w:rsid w:val="000F0380"/>
    <w:rsid w:val="000F0609"/>
    <w:rsid w:val="000F2A04"/>
    <w:rsid w:val="000F2B8F"/>
    <w:rsid w:val="000F6E06"/>
    <w:rsid w:val="00101E3F"/>
    <w:rsid w:val="00102A8B"/>
    <w:rsid w:val="00104038"/>
    <w:rsid w:val="00104C0B"/>
    <w:rsid w:val="0010591C"/>
    <w:rsid w:val="00105DCF"/>
    <w:rsid w:val="001062A5"/>
    <w:rsid w:val="00106BCD"/>
    <w:rsid w:val="00107366"/>
    <w:rsid w:val="00111779"/>
    <w:rsid w:val="001139F9"/>
    <w:rsid w:val="00113CEC"/>
    <w:rsid w:val="00117833"/>
    <w:rsid w:val="0011787F"/>
    <w:rsid w:val="00117CE5"/>
    <w:rsid w:val="00120404"/>
    <w:rsid w:val="00122920"/>
    <w:rsid w:val="0012361C"/>
    <w:rsid w:val="0012600A"/>
    <w:rsid w:val="00126F2A"/>
    <w:rsid w:val="00131407"/>
    <w:rsid w:val="001429EB"/>
    <w:rsid w:val="00143925"/>
    <w:rsid w:val="001449EA"/>
    <w:rsid w:val="0014693A"/>
    <w:rsid w:val="00147A85"/>
    <w:rsid w:val="001502AD"/>
    <w:rsid w:val="00152C6E"/>
    <w:rsid w:val="00154169"/>
    <w:rsid w:val="00154AD4"/>
    <w:rsid w:val="00155183"/>
    <w:rsid w:val="00162020"/>
    <w:rsid w:val="0016279F"/>
    <w:rsid w:val="00164F66"/>
    <w:rsid w:val="00165BB8"/>
    <w:rsid w:val="00167457"/>
    <w:rsid w:val="001705F8"/>
    <w:rsid w:val="00171560"/>
    <w:rsid w:val="001716BF"/>
    <w:rsid w:val="0017231A"/>
    <w:rsid w:val="0017544D"/>
    <w:rsid w:val="00175D2D"/>
    <w:rsid w:val="00176E13"/>
    <w:rsid w:val="00177FA5"/>
    <w:rsid w:val="00181F19"/>
    <w:rsid w:val="00183527"/>
    <w:rsid w:val="00183D51"/>
    <w:rsid w:val="00183E59"/>
    <w:rsid w:val="00184295"/>
    <w:rsid w:val="001853BA"/>
    <w:rsid w:val="00186FC6"/>
    <w:rsid w:val="00195674"/>
    <w:rsid w:val="00195A63"/>
    <w:rsid w:val="00196C63"/>
    <w:rsid w:val="0019721A"/>
    <w:rsid w:val="00197824"/>
    <w:rsid w:val="001A0064"/>
    <w:rsid w:val="001A0BB1"/>
    <w:rsid w:val="001A20C8"/>
    <w:rsid w:val="001A400F"/>
    <w:rsid w:val="001A6F29"/>
    <w:rsid w:val="001A76F4"/>
    <w:rsid w:val="001B3884"/>
    <w:rsid w:val="001B447D"/>
    <w:rsid w:val="001B609C"/>
    <w:rsid w:val="001B6C02"/>
    <w:rsid w:val="001C0990"/>
    <w:rsid w:val="001C31FE"/>
    <w:rsid w:val="001C40BD"/>
    <w:rsid w:val="001C5AC7"/>
    <w:rsid w:val="001C639E"/>
    <w:rsid w:val="001C7799"/>
    <w:rsid w:val="001C7B33"/>
    <w:rsid w:val="001D0347"/>
    <w:rsid w:val="001D11D1"/>
    <w:rsid w:val="001D4267"/>
    <w:rsid w:val="001D4DC3"/>
    <w:rsid w:val="001D4F38"/>
    <w:rsid w:val="001E1037"/>
    <w:rsid w:val="001E1653"/>
    <w:rsid w:val="001E17AD"/>
    <w:rsid w:val="001E1F4F"/>
    <w:rsid w:val="001E2BBB"/>
    <w:rsid w:val="001E335B"/>
    <w:rsid w:val="001E4B9A"/>
    <w:rsid w:val="001F18FA"/>
    <w:rsid w:val="001F1C7F"/>
    <w:rsid w:val="001F21AC"/>
    <w:rsid w:val="001F2779"/>
    <w:rsid w:val="001F31D0"/>
    <w:rsid w:val="001F376F"/>
    <w:rsid w:val="001F4781"/>
    <w:rsid w:val="001F6CFB"/>
    <w:rsid w:val="00200411"/>
    <w:rsid w:val="00200E76"/>
    <w:rsid w:val="0020145C"/>
    <w:rsid w:val="0020392B"/>
    <w:rsid w:val="00205B29"/>
    <w:rsid w:val="0021090D"/>
    <w:rsid w:val="00211FEA"/>
    <w:rsid w:val="00214ED6"/>
    <w:rsid w:val="002165E0"/>
    <w:rsid w:val="00216EDE"/>
    <w:rsid w:val="00217C19"/>
    <w:rsid w:val="00220CB1"/>
    <w:rsid w:val="002267C3"/>
    <w:rsid w:val="00226E9F"/>
    <w:rsid w:val="002279BF"/>
    <w:rsid w:val="00227A14"/>
    <w:rsid w:val="00231779"/>
    <w:rsid w:val="00233349"/>
    <w:rsid w:val="002350B7"/>
    <w:rsid w:val="00235303"/>
    <w:rsid w:val="002358E7"/>
    <w:rsid w:val="00235CF0"/>
    <w:rsid w:val="00235DE0"/>
    <w:rsid w:val="002376B4"/>
    <w:rsid w:val="0024055A"/>
    <w:rsid w:val="002414F8"/>
    <w:rsid w:val="002422A6"/>
    <w:rsid w:val="002456D7"/>
    <w:rsid w:val="002473EC"/>
    <w:rsid w:val="0024778C"/>
    <w:rsid w:val="00247D58"/>
    <w:rsid w:val="002503D0"/>
    <w:rsid w:val="00250C67"/>
    <w:rsid w:val="00250F88"/>
    <w:rsid w:val="00251144"/>
    <w:rsid w:val="00251426"/>
    <w:rsid w:val="00252F0C"/>
    <w:rsid w:val="00254A96"/>
    <w:rsid w:val="00254C69"/>
    <w:rsid w:val="00255E41"/>
    <w:rsid w:val="00256900"/>
    <w:rsid w:val="00256B90"/>
    <w:rsid w:val="002601D9"/>
    <w:rsid w:val="00260C98"/>
    <w:rsid w:val="0026237E"/>
    <w:rsid w:val="00263F41"/>
    <w:rsid w:val="002646C5"/>
    <w:rsid w:val="00264861"/>
    <w:rsid w:val="00267354"/>
    <w:rsid w:val="00267905"/>
    <w:rsid w:val="002714A7"/>
    <w:rsid w:val="00274BB1"/>
    <w:rsid w:val="002775E6"/>
    <w:rsid w:val="0027761D"/>
    <w:rsid w:val="00280589"/>
    <w:rsid w:val="002819A9"/>
    <w:rsid w:val="00281F31"/>
    <w:rsid w:val="00282AC8"/>
    <w:rsid w:val="00283CB6"/>
    <w:rsid w:val="00285B05"/>
    <w:rsid w:val="00290E2D"/>
    <w:rsid w:val="00293C77"/>
    <w:rsid w:val="00295CEE"/>
    <w:rsid w:val="0029686A"/>
    <w:rsid w:val="00297182"/>
    <w:rsid w:val="00297B61"/>
    <w:rsid w:val="002A0AC8"/>
    <w:rsid w:val="002A381A"/>
    <w:rsid w:val="002A6741"/>
    <w:rsid w:val="002A6D57"/>
    <w:rsid w:val="002A7652"/>
    <w:rsid w:val="002A7B75"/>
    <w:rsid w:val="002B2339"/>
    <w:rsid w:val="002B2B7F"/>
    <w:rsid w:val="002B2D92"/>
    <w:rsid w:val="002B32EC"/>
    <w:rsid w:val="002B6DC3"/>
    <w:rsid w:val="002B78AE"/>
    <w:rsid w:val="002C2C4A"/>
    <w:rsid w:val="002C2D90"/>
    <w:rsid w:val="002C4045"/>
    <w:rsid w:val="002C4786"/>
    <w:rsid w:val="002C6959"/>
    <w:rsid w:val="002C7F31"/>
    <w:rsid w:val="002D1397"/>
    <w:rsid w:val="002D35A3"/>
    <w:rsid w:val="002D45F5"/>
    <w:rsid w:val="002D5530"/>
    <w:rsid w:val="002D69E7"/>
    <w:rsid w:val="002D7D89"/>
    <w:rsid w:val="002E51C2"/>
    <w:rsid w:val="002E5335"/>
    <w:rsid w:val="002E7A0D"/>
    <w:rsid w:val="002F2EE0"/>
    <w:rsid w:val="002F3FC7"/>
    <w:rsid w:val="002F5F72"/>
    <w:rsid w:val="002F7026"/>
    <w:rsid w:val="002F7CF1"/>
    <w:rsid w:val="00300601"/>
    <w:rsid w:val="00304DB9"/>
    <w:rsid w:val="003058A3"/>
    <w:rsid w:val="00305FCD"/>
    <w:rsid w:val="003127E9"/>
    <w:rsid w:val="00313082"/>
    <w:rsid w:val="00313841"/>
    <w:rsid w:val="0031414E"/>
    <w:rsid w:val="003147AA"/>
    <w:rsid w:val="00314C71"/>
    <w:rsid w:val="00314DEC"/>
    <w:rsid w:val="00315073"/>
    <w:rsid w:val="00316DEA"/>
    <w:rsid w:val="00320AF2"/>
    <w:rsid w:val="00321C8A"/>
    <w:rsid w:val="00322266"/>
    <w:rsid w:val="003226AA"/>
    <w:rsid w:val="00325275"/>
    <w:rsid w:val="003272BE"/>
    <w:rsid w:val="00327E1F"/>
    <w:rsid w:val="003337E8"/>
    <w:rsid w:val="003338EC"/>
    <w:rsid w:val="00334170"/>
    <w:rsid w:val="00343A86"/>
    <w:rsid w:val="003518B1"/>
    <w:rsid w:val="0035330F"/>
    <w:rsid w:val="00353B75"/>
    <w:rsid w:val="003546D4"/>
    <w:rsid w:val="003560A8"/>
    <w:rsid w:val="003564EA"/>
    <w:rsid w:val="00356F64"/>
    <w:rsid w:val="0036057D"/>
    <w:rsid w:val="0036147C"/>
    <w:rsid w:val="00362CB5"/>
    <w:rsid w:val="00363469"/>
    <w:rsid w:val="00365A2C"/>
    <w:rsid w:val="00367E16"/>
    <w:rsid w:val="00372AF5"/>
    <w:rsid w:val="00376BA1"/>
    <w:rsid w:val="0038199A"/>
    <w:rsid w:val="0038241F"/>
    <w:rsid w:val="003833F7"/>
    <w:rsid w:val="00383B57"/>
    <w:rsid w:val="00384359"/>
    <w:rsid w:val="00384EB7"/>
    <w:rsid w:val="003854B4"/>
    <w:rsid w:val="00386F06"/>
    <w:rsid w:val="00387CC1"/>
    <w:rsid w:val="00387D61"/>
    <w:rsid w:val="003911E9"/>
    <w:rsid w:val="00391955"/>
    <w:rsid w:val="00394A4D"/>
    <w:rsid w:val="003951D3"/>
    <w:rsid w:val="00396C41"/>
    <w:rsid w:val="003A0B45"/>
    <w:rsid w:val="003A1C17"/>
    <w:rsid w:val="003A4F81"/>
    <w:rsid w:val="003A517D"/>
    <w:rsid w:val="003A55D5"/>
    <w:rsid w:val="003A588A"/>
    <w:rsid w:val="003A6031"/>
    <w:rsid w:val="003A6EC4"/>
    <w:rsid w:val="003B0517"/>
    <w:rsid w:val="003B1F51"/>
    <w:rsid w:val="003B23CC"/>
    <w:rsid w:val="003B23F9"/>
    <w:rsid w:val="003B31EA"/>
    <w:rsid w:val="003B4BA1"/>
    <w:rsid w:val="003B63C2"/>
    <w:rsid w:val="003B779F"/>
    <w:rsid w:val="003C0B84"/>
    <w:rsid w:val="003C3EF4"/>
    <w:rsid w:val="003C42D3"/>
    <w:rsid w:val="003C4738"/>
    <w:rsid w:val="003C5F1F"/>
    <w:rsid w:val="003D2C3C"/>
    <w:rsid w:val="003D4DE0"/>
    <w:rsid w:val="003D73A9"/>
    <w:rsid w:val="003D74E1"/>
    <w:rsid w:val="003E1372"/>
    <w:rsid w:val="003E41BF"/>
    <w:rsid w:val="003E45F5"/>
    <w:rsid w:val="003E48D7"/>
    <w:rsid w:val="003E4A52"/>
    <w:rsid w:val="003E5A44"/>
    <w:rsid w:val="003E6762"/>
    <w:rsid w:val="003E6B6B"/>
    <w:rsid w:val="003E7375"/>
    <w:rsid w:val="003F1836"/>
    <w:rsid w:val="003F2784"/>
    <w:rsid w:val="003F3D65"/>
    <w:rsid w:val="003F4D7C"/>
    <w:rsid w:val="003F53AB"/>
    <w:rsid w:val="003F5E8B"/>
    <w:rsid w:val="003F72C5"/>
    <w:rsid w:val="00401519"/>
    <w:rsid w:val="00401FE3"/>
    <w:rsid w:val="004025FA"/>
    <w:rsid w:val="00402ADD"/>
    <w:rsid w:val="00403A61"/>
    <w:rsid w:val="00403C7D"/>
    <w:rsid w:val="00405B5C"/>
    <w:rsid w:val="00410747"/>
    <w:rsid w:val="004111A0"/>
    <w:rsid w:val="00414605"/>
    <w:rsid w:val="00415866"/>
    <w:rsid w:val="00417650"/>
    <w:rsid w:val="004178C9"/>
    <w:rsid w:val="004217CC"/>
    <w:rsid w:val="00421B8B"/>
    <w:rsid w:val="0042276E"/>
    <w:rsid w:val="00422F1C"/>
    <w:rsid w:val="00425659"/>
    <w:rsid w:val="00427A5B"/>
    <w:rsid w:val="004305CA"/>
    <w:rsid w:val="00430C86"/>
    <w:rsid w:val="00437FE5"/>
    <w:rsid w:val="0044083A"/>
    <w:rsid w:val="00441178"/>
    <w:rsid w:val="004424EA"/>
    <w:rsid w:val="00443BA9"/>
    <w:rsid w:val="0044440C"/>
    <w:rsid w:val="00445C2D"/>
    <w:rsid w:val="00447C18"/>
    <w:rsid w:val="0045077A"/>
    <w:rsid w:val="004535BD"/>
    <w:rsid w:val="0045538C"/>
    <w:rsid w:val="00456D7C"/>
    <w:rsid w:val="00456EBA"/>
    <w:rsid w:val="004573F2"/>
    <w:rsid w:val="00460EAC"/>
    <w:rsid w:val="00461234"/>
    <w:rsid w:val="00462912"/>
    <w:rsid w:val="004639B9"/>
    <w:rsid w:val="00464883"/>
    <w:rsid w:val="004652D3"/>
    <w:rsid w:val="004672B2"/>
    <w:rsid w:val="004700BD"/>
    <w:rsid w:val="00470285"/>
    <w:rsid w:val="00470336"/>
    <w:rsid w:val="004707C1"/>
    <w:rsid w:val="004722B3"/>
    <w:rsid w:val="00475D4B"/>
    <w:rsid w:val="004761BB"/>
    <w:rsid w:val="00480121"/>
    <w:rsid w:val="00481E3B"/>
    <w:rsid w:val="0048219B"/>
    <w:rsid w:val="0048304D"/>
    <w:rsid w:val="00490C46"/>
    <w:rsid w:val="00492215"/>
    <w:rsid w:val="004971B9"/>
    <w:rsid w:val="00497BB7"/>
    <w:rsid w:val="004A01D9"/>
    <w:rsid w:val="004A0D26"/>
    <w:rsid w:val="004A26C5"/>
    <w:rsid w:val="004B08C6"/>
    <w:rsid w:val="004B3BA7"/>
    <w:rsid w:val="004B498C"/>
    <w:rsid w:val="004B698F"/>
    <w:rsid w:val="004B6C61"/>
    <w:rsid w:val="004B6E34"/>
    <w:rsid w:val="004B7F16"/>
    <w:rsid w:val="004B7FF0"/>
    <w:rsid w:val="004C2D03"/>
    <w:rsid w:val="004C322E"/>
    <w:rsid w:val="004D0407"/>
    <w:rsid w:val="004D745F"/>
    <w:rsid w:val="004E413A"/>
    <w:rsid w:val="004E73EF"/>
    <w:rsid w:val="004F0E4B"/>
    <w:rsid w:val="004F201B"/>
    <w:rsid w:val="004F2CF5"/>
    <w:rsid w:val="004F3565"/>
    <w:rsid w:val="004F60C0"/>
    <w:rsid w:val="00502D4F"/>
    <w:rsid w:val="005030C6"/>
    <w:rsid w:val="00504513"/>
    <w:rsid w:val="005047F3"/>
    <w:rsid w:val="00504922"/>
    <w:rsid w:val="005064EF"/>
    <w:rsid w:val="00506EF8"/>
    <w:rsid w:val="00511281"/>
    <w:rsid w:val="00513F55"/>
    <w:rsid w:val="00515F81"/>
    <w:rsid w:val="005163F0"/>
    <w:rsid w:val="00517689"/>
    <w:rsid w:val="00517E50"/>
    <w:rsid w:val="005235BB"/>
    <w:rsid w:val="005239CF"/>
    <w:rsid w:val="00523A7E"/>
    <w:rsid w:val="0053199C"/>
    <w:rsid w:val="00531CC9"/>
    <w:rsid w:val="00531F49"/>
    <w:rsid w:val="00533264"/>
    <w:rsid w:val="0053369D"/>
    <w:rsid w:val="00533721"/>
    <w:rsid w:val="00534106"/>
    <w:rsid w:val="00536C53"/>
    <w:rsid w:val="0054042A"/>
    <w:rsid w:val="00540A51"/>
    <w:rsid w:val="0054253C"/>
    <w:rsid w:val="0054261E"/>
    <w:rsid w:val="00542A74"/>
    <w:rsid w:val="0054366C"/>
    <w:rsid w:val="00543D15"/>
    <w:rsid w:val="00544928"/>
    <w:rsid w:val="00544B83"/>
    <w:rsid w:val="00545A2F"/>
    <w:rsid w:val="005462AF"/>
    <w:rsid w:val="00551ADE"/>
    <w:rsid w:val="0055345A"/>
    <w:rsid w:val="00554009"/>
    <w:rsid w:val="00555A38"/>
    <w:rsid w:val="00556466"/>
    <w:rsid w:val="00556A5A"/>
    <w:rsid w:val="00557160"/>
    <w:rsid w:val="0056072E"/>
    <w:rsid w:val="005610B5"/>
    <w:rsid w:val="005641A4"/>
    <w:rsid w:val="0056541F"/>
    <w:rsid w:val="00565B1E"/>
    <w:rsid w:val="0056752F"/>
    <w:rsid w:val="00567BB8"/>
    <w:rsid w:val="00573E23"/>
    <w:rsid w:val="00575977"/>
    <w:rsid w:val="00577F42"/>
    <w:rsid w:val="0058018E"/>
    <w:rsid w:val="00583101"/>
    <w:rsid w:val="0059076A"/>
    <w:rsid w:val="00590C66"/>
    <w:rsid w:val="00591892"/>
    <w:rsid w:val="0059222C"/>
    <w:rsid w:val="00592356"/>
    <w:rsid w:val="005925AF"/>
    <w:rsid w:val="005927A2"/>
    <w:rsid w:val="005940BE"/>
    <w:rsid w:val="00595628"/>
    <w:rsid w:val="005956EE"/>
    <w:rsid w:val="0059629D"/>
    <w:rsid w:val="00596798"/>
    <w:rsid w:val="00596AD4"/>
    <w:rsid w:val="005A0263"/>
    <w:rsid w:val="005A0E78"/>
    <w:rsid w:val="005A4815"/>
    <w:rsid w:val="005A4DC3"/>
    <w:rsid w:val="005A511E"/>
    <w:rsid w:val="005B0191"/>
    <w:rsid w:val="005B18B1"/>
    <w:rsid w:val="005B1E3D"/>
    <w:rsid w:val="005B279C"/>
    <w:rsid w:val="005B4FA1"/>
    <w:rsid w:val="005B5CB8"/>
    <w:rsid w:val="005B61FB"/>
    <w:rsid w:val="005B73C6"/>
    <w:rsid w:val="005C293D"/>
    <w:rsid w:val="005C2D7A"/>
    <w:rsid w:val="005C3DAE"/>
    <w:rsid w:val="005C418B"/>
    <w:rsid w:val="005C672C"/>
    <w:rsid w:val="005C72DB"/>
    <w:rsid w:val="005C7386"/>
    <w:rsid w:val="005C7AE5"/>
    <w:rsid w:val="005D2584"/>
    <w:rsid w:val="005D260E"/>
    <w:rsid w:val="005D3C0A"/>
    <w:rsid w:val="005D443D"/>
    <w:rsid w:val="005D5268"/>
    <w:rsid w:val="005D5B73"/>
    <w:rsid w:val="005D6385"/>
    <w:rsid w:val="005D7F64"/>
    <w:rsid w:val="005E04BA"/>
    <w:rsid w:val="005E0968"/>
    <w:rsid w:val="005E1E2E"/>
    <w:rsid w:val="005E2D7B"/>
    <w:rsid w:val="005E46E6"/>
    <w:rsid w:val="005E69D1"/>
    <w:rsid w:val="005E77E6"/>
    <w:rsid w:val="005E77F1"/>
    <w:rsid w:val="005E7EF2"/>
    <w:rsid w:val="005F3471"/>
    <w:rsid w:val="005F6342"/>
    <w:rsid w:val="005F6814"/>
    <w:rsid w:val="00600840"/>
    <w:rsid w:val="00604B14"/>
    <w:rsid w:val="0060505E"/>
    <w:rsid w:val="00605793"/>
    <w:rsid w:val="0060782A"/>
    <w:rsid w:val="0061021A"/>
    <w:rsid w:val="006104E7"/>
    <w:rsid w:val="00613CA1"/>
    <w:rsid w:val="00614409"/>
    <w:rsid w:val="006159ED"/>
    <w:rsid w:val="006207B3"/>
    <w:rsid w:val="006214B1"/>
    <w:rsid w:val="006216C5"/>
    <w:rsid w:val="00621ECF"/>
    <w:rsid w:val="006223FD"/>
    <w:rsid w:val="00622EBF"/>
    <w:rsid w:val="00622FC6"/>
    <w:rsid w:val="0062398E"/>
    <w:rsid w:val="00625B89"/>
    <w:rsid w:val="00626CEE"/>
    <w:rsid w:val="00631408"/>
    <w:rsid w:val="0063144D"/>
    <w:rsid w:val="006321DF"/>
    <w:rsid w:val="006325C6"/>
    <w:rsid w:val="00635530"/>
    <w:rsid w:val="00637518"/>
    <w:rsid w:val="006400D7"/>
    <w:rsid w:val="006410B7"/>
    <w:rsid w:val="00641FD1"/>
    <w:rsid w:val="00642380"/>
    <w:rsid w:val="00643817"/>
    <w:rsid w:val="00643B51"/>
    <w:rsid w:val="006446A8"/>
    <w:rsid w:val="0064555B"/>
    <w:rsid w:val="00646546"/>
    <w:rsid w:val="00647B79"/>
    <w:rsid w:val="00647DB2"/>
    <w:rsid w:val="00650B91"/>
    <w:rsid w:val="00652348"/>
    <w:rsid w:val="006530C5"/>
    <w:rsid w:val="006535A3"/>
    <w:rsid w:val="00653C6B"/>
    <w:rsid w:val="006551EA"/>
    <w:rsid w:val="00655DE5"/>
    <w:rsid w:val="00656BD1"/>
    <w:rsid w:val="00660BC0"/>
    <w:rsid w:val="00661AAC"/>
    <w:rsid w:val="006631D8"/>
    <w:rsid w:val="006635B1"/>
    <w:rsid w:val="00663F50"/>
    <w:rsid w:val="006646E4"/>
    <w:rsid w:val="006652D9"/>
    <w:rsid w:val="00666380"/>
    <w:rsid w:val="00672112"/>
    <w:rsid w:val="00672DEA"/>
    <w:rsid w:val="0067369A"/>
    <w:rsid w:val="006742F9"/>
    <w:rsid w:val="006743D9"/>
    <w:rsid w:val="0067524E"/>
    <w:rsid w:val="006757FF"/>
    <w:rsid w:val="00675DDA"/>
    <w:rsid w:val="00675F59"/>
    <w:rsid w:val="00676CFD"/>
    <w:rsid w:val="00676EE3"/>
    <w:rsid w:val="006807EF"/>
    <w:rsid w:val="0068176D"/>
    <w:rsid w:val="006823F8"/>
    <w:rsid w:val="0068343E"/>
    <w:rsid w:val="00684F28"/>
    <w:rsid w:val="0068508A"/>
    <w:rsid w:val="00685B53"/>
    <w:rsid w:val="006924D6"/>
    <w:rsid w:val="006946F3"/>
    <w:rsid w:val="00695122"/>
    <w:rsid w:val="006957EC"/>
    <w:rsid w:val="00695D33"/>
    <w:rsid w:val="00697198"/>
    <w:rsid w:val="006A0BB8"/>
    <w:rsid w:val="006A0F77"/>
    <w:rsid w:val="006A1235"/>
    <w:rsid w:val="006A2648"/>
    <w:rsid w:val="006A26B4"/>
    <w:rsid w:val="006A3483"/>
    <w:rsid w:val="006A5407"/>
    <w:rsid w:val="006A64E6"/>
    <w:rsid w:val="006A66C0"/>
    <w:rsid w:val="006A6F69"/>
    <w:rsid w:val="006B019C"/>
    <w:rsid w:val="006B07AE"/>
    <w:rsid w:val="006B10E2"/>
    <w:rsid w:val="006B420D"/>
    <w:rsid w:val="006B4742"/>
    <w:rsid w:val="006B474E"/>
    <w:rsid w:val="006B4B7E"/>
    <w:rsid w:val="006B549C"/>
    <w:rsid w:val="006B5D1C"/>
    <w:rsid w:val="006B7F5E"/>
    <w:rsid w:val="006C2A9C"/>
    <w:rsid w:val="006C2D06"/>
    <w:rsid w:val="006C40C0"/>
    <w:rsid w:val="006C53E9"/>
    <w:rsid w:val="006C5639"/>
    <w:rsid w:val="006C736D"/>
    <w:rsid w:val="006C7B8D"/>
    <w:rsid w:val="006C7EC7"/>
    <w:rsid w:val="006D0AED"/>
    <w:rsid w:val="006D2F4A"/>
    <w:rsid w:val="006D352F"/>
    <w:rsid w:val="006D3DB3"/>
    <w:rsid w:val="006E1010"/>
    <w:rsid w:val="006E4663"/>
    <w:rsid w:val="006E4F5A"/>
    <w:rsid w:val="006E5026"/>
    <w:rsid w:val="006E5916"/>
    <w:rsid w:val="006E6D9E"/>
    <w:rsid w:val="006F03E5"/>
    <w:rsid w:val="006F087C"/>
    <w:rsid w:val="006F4E85"/>
    <w:rsid w:val="006F5F62"/>
    <w:rsid w:val="006F6A50"/>
    <w:rsid w:val="006F71D7"/>
    <w:rsid w:val="00700448"/>
    <w:rsid w:val="00702FBA"/>
    <w:rsid w:val="0070661C"/>
    <w:rsid w:val="00706A2E"/>
    <w:rsid w:val="00710FA6"/>
    <w:rsid w:val="00712EF9"/>
    <w:rsid w:val="007144D2"/>
    <w:rsid w:val="00714F36"/>
    <w:rsid w:val="00715A05"/>
    <w:rsid w:val="00715B5E"/>
    <w:rsid w:val="00717B2C"/>
    <w:rsid w:val="007200D7"/>
    <w:rsid w:val="007203CB"/>
    <w:rsid w:val="007212FA"/>
    <w:rsid w:val="007217A1"/>
    <w:rsid w:val="00721C49"/>
    <w:rsid w:val="00722844"/>
    <w:rsid w:val="007235A7"/>
    <w:rsid w:val="0072546C"/>
    <w:rsid w:val="00726547"/>
    <w:rsid w:val="00727A8B"/>
    <w:rsid w:val="00734387"/>
    <w:rsid w:val="00735CF0"/>
    <w:rsid w:val="0073639E"/>
    <w:rsid w:val="00737976"/>
    <w:rsid w:val="007379A6"/>
    <w:rsid w:val="00742705"/>
    <w:rsid w:val="00743F2C"/>
    <w:rsid w:val="00744132"/>
    <w:rsid w:val="00744445"/>
    <w:rsid w:val="00744FF9"/>
    <w:rsid w:val="007453E6"/>
    <w:rsid w:val="007502CB"/>
    <w:rsid w:val="00750602"/>
    <w:rsid w:val="00751C5C"/>
    <w:rsid w:val="00752D8E"/>
    <w:rsid w:val="00753BFC"/>
    <w:rsid w:val="00754CD2"/>
    <w:rsid w:val="007559BA"/>
    <w:rsid w:val="00760192"/>
    <w:rsid w:val="007612E0"/>
    <w:rsid w:val="00762D10"/>
    <w:rsid w:val="0076336F"/>
    <w:rsid w:val="007637F1"/>
    <w:rsid w:val="007639FA"/>
    <w:rsid w:val="00764514"/>
    <w:rsid w:val="00766D1F"/>
    <w:rsid w:val="007672DA"/>
    <w:rsid w:val="007701F7"/>
    <w:rsid w:val="00772152"/>
    <w:rsid w:val="0077296A"/>
    <w:rsid w:val="007734EC"/>
    <w:rsid w:val="00773A6B"/>
    <w:rsid w:val="00785A13"/>
    <w:rsid w:val="0078609A"/>
    <w:rsid w:val="00790B08"/>
    <w:rsid w:val="007945FD"/>
    <w:rsid w:val="007949B0"/>
    <w:rsid w:val="00796D18"/>
    <w:rsid w:val="00796EBA"/>
    <w:rsid w:val="007A0869"/>
    <w:rsid w:val="007A1D53"/>
    <w:rsid w:val="007A5E3E"/>
    <w:rsid w:val="007A6E7D"/>
    <w:rsid w:val="007B0192"/>
    <w:rsid w:val="007B0A41"/>
    <w:rsid w:val="007B19FB"/>
    <w:rsid w:val="007B1A70"/>
    <w:rsid w:val="007B3271"/>
    <w:rsid w:val="007B3446"/>
    <w:rsid w:val="007B3A57"/>
    <w:rsid w:val="007B471E"/>
    <w:rsid w:val="007B53B2"/>
    <w:rsid w:val="007B57A7"/>
    <w:rsid w:val="007B6F22"/>
    <w:rsid w:val="007C185D"/>
    <w:rsid w:val="007C2238"/>
    <w:rsid w:val="007C3FCF"/>
    <w:rsid w:val="007C4B35"/>
    <w:rsid w:val="007C70C7"/>
    <w:rsid w:val="007C78D9"/>
    <w:rsid w:val="007D00C0"/>
    <w:rsid w:val="007D0682"/>
    <w:rsid w:val="007D13A2"/>
    <w:rsid w:val="007D175C"/>
    <w:rsid w:val="007D28EC"/>
    <w:rsid w:val="007D510A"/>
    <w:rsid w:val="007D7E62"/>
    <w:rsid w:val="007E3153"/>
    <w:rsid w:val="007E4DB9"/>
    <w:rsid w:val="007E5125"/>
    <w:rsid w:val="007F0281"/>
    <w:rsid w:val="007F489F"/>
    <w:rsid w:val="007F5237"/>
    <w:rsid w:val="007F683C"/>
    <w:rsid w:val="00801977"/>
    <w:rsid w:val="00802039"/>
    <w:rsid w:val="0080464D"/>
    <w:rsid w:val="00805368"/>
    <w:rsid w:val="008059AC"/>
    <w:rsid w:val="008079F4"/>
    <w:rsid w:val="00807B5E"/>
    <w:rsid w:val="008115FD"/>
    <w:rsid w:val="00812C95"/>
    <w:rsid w:val="0081403F"/>
    <w:rsid w:val="00815C20"/>
    <w:rsid w:val="00815EC2"/>
    <w:rsid w:val="00816723"/>
    <w:rsid w:val="00816975"/>
    <w:rsid w:val="00817150"/>
    <w:rsid w:val="00821EDC"/>
    <w:rsid w:val="0082208A"/>
    <w:rsid w:val="00823457"/>
    <w:rsid w:val="00823846"/>
    <w:rsid w:val="008265E8"/>
    <w:rsid w:val="00832866"/>
    <w:rsid w:val="008347BD"/>
    <w:rsid w:val="00835357"/>
    <w:rsid w:val="008368AA"/>
    <w:rsid w:val="00837A08"/>
    <w:rsid w:val="00837BFF"/>
    <w:rsid w:val="008411C6"/>
    <w:rsid w:val="008475B2"/>
    <w:rsid w:val="00850F73"/>
    <w:rsid w:val="00851386"/>
    <w:rsid w:val="008515B2"/>
    <w:rsid w:val="0085269B"/>
    <w:rsid w:val="00852C13"/>
    <w:rsid w:val="00854081"/>
    <w:rsid w:val="00854288"/>
    <w:rsid w:val="008546BB"/>
    <w:rsid w:val="008567B8"/>
    <w:rsid w:val="0085682F"/>
    <w:rsid w:val="008613A9"/>
    <w:rsid w:val="0086205B"/>
    <w:rsid w:val="00866E7C"/>
    <w:rsid w:val="00870ABF"/>
    <w:rsid w:val="00872448"/>
    <w:rsid w:val="008730CC"/>
    <w:rsid w:val="00873E63"/>
    <w:rsid w:val="00876702"/>
    <w:rsid w:val="008779F8"/>
    <w:rsid w:val="00880D02"/>
    <w:rsid w:val="00881CB9"/>
    <w:rsid w:val="00882079"/>
    <w:rsid w:val="00882C6F"/>
    <w:rsid w:val="00883D73"/>
    <w:rsid w:val="0088456F"/>
    <w:rsid w:val="00885441"/>
    <w:rsid w:val="00886FAB"/>
    <w:rsid w:val="0088706F"/>
    <w:rsid w:val="0088712F"/>
    <w:rsid w:val="00890333"/>
    <w:rsid w:val="008918BC"/>
    <w:rsid w:val="00893A09"/>
    <w:rsid w:val="008949D2"/>
    <w:rsid w:val="00895DA4"/>
    <w:rsid w:val="008A1502"/>
    <w:rsid w:val="008A2ADC"/>
    <w:rsid w:val="008A465D"/>
    <w:rsid w:val="008A5743"/>
    <w:rsid w:val="008A7FD5"/>
    <w:rsid w:val="008B0539"/>
    <w:rsid w:val="008B06B3"/>
    <w:rsid w:val="008B308B"/>
    <w:rsid w:val="008B6137"/>
    <w:rsid w:val="008B76EA"/>
    <w:rsid w:val="008B77F8"/>
    <w:rsid w:val="008C0FB1"/>
    <w:rsid w:val="008C3BC7"/>
    <w:rsid w:val="008C49EA"/>
    <w:rsid w:val="008C4E4A"/>
    <w:rsid w:val="008C7ABA"/>
    <w:rsid w:val="008D03DA"/>
    <w:rsid w:val="008D0752"/>
    <w:rsid w:val="008D0CF0"/>
    <w:rsid w:val="008D2958"/>
    <w:rsid w:val="008D3562"/>
    <w:rsid w:val="008E0157"/>
    <w:rsid w:val="008E0ED4"/>
    <w:rsid w:val="008E0F10"/>
    <w:rsid w:val="008E184C"/>
    <w:rsid w:val="008E23A5"/>
    <w:rsid w:val="008E3616"/>
    <w:rsid w:val="008E5514"/>
    <w:rsid w:val="008E6BE1"/>
    <w:rsid w:val="008E6EF0"/>
    <w:rsid w:val="008E7F76"/>
    <w:rsid w:val="008F0CBA"/>
    <w:rsid w:val="008F1208"/>
    <w:rsid w:val="008F1D9C"/>
    <w:rsid w:val="008F22A1"/>
    <w:rsid w:val="008F5E8D"/>
    <w:rsid w:val="008F78A9"/>
    <w:rsid w:val="00900115"/>
    <w:rsid w:val="00900277"/>
    <w:rsid w:val="00901B9B"/>
    <w:rsid w:val="009045AB"/>
    <w:rsid w:val="00904DC6"/>
    <w:rsid w:val="0090663E"/>
    <w:rsid w:val="00906829"/>
    <w:rsid w:val="00911A6D"/>
    <w:rsid w:val="00911DB8"/>
    <w:rsid w:val="009138DE"/>
    <w:rsid w:val="00914210"/>
    <w:rsid w:val="00915AEB"/>
    <w:rsid w:val="009208AD"/>
    <w:rsid w:val="00920C00"/>
    <w:rsid w:val="0092298A"/>
    <w:rsid w:val="00922F3D"/>
    <w:rsid w:val="0092388F"/>
    <w:rsid w:val="00924717"/>
    <w:rsid w:val="009263B7"/>
    <w:rsid w:val="00926906"/>
    <w:rsid w:val="00926C70"/>
    <w:rsid w:val="00927879"/>
    <w:rsid w:val="00927EBC"/>
    <w:rsid w:val="009300CB"/>
    <w:rsid w:val="00930103"/>
    <w:rsid w:val="009335EB"/>
    <w:rsid w:val="009375FA"/>
    <w:rsid w:val="00951066"/>
    <w:rsid w:val="0095264B"/>
    <w:rsid w:val="00953EF6"/>
    <w:rsid w:val="00961747"/>
    <w:rsid w:val="00961D20"/>
    <w:rsid w:val="009639CE"/>
    <w:rsid w:val="0096405F"/>
    <w:rsid w:val="0096558F"/>
    <w:rsid w:val="00965D98"/>
    <w:rsid w:val="00974DB4"/>
    <w:rsid w:val="009777E5"/>
    <w:rsid w:val="0098077D"/>
    <w:rsid w:val="00983684"/>
    <w:rsid w:val="00983695"/>
    <w:rsid w:val="00983ED7"/>
    <w:rsid w:val="009849DC"/>
    <w:rsid w:val="00986132"/>
    <w:rsid w:val="009870EF"/>
    <w:rsid w:val="00990576"/>
    <w:rsid w:val="00990983"/>
    <w:rsid w:val="00992588"/>
    <w:rsid w:val="00994C65"/>
    <w:rsid w:val="00995FF2"/>
    <w:rsid w:val="00997942"/>
    <w:rsid w:val="00997EBE"/>
    <w:rsid w:val="009A0ECE"/>
    <w:rsid w:val="009A0F26"/>
    <w:rsid w:val="009A6C3D"/>
    <w:rsid w:val="009A730D"/>
    <w:rsid w:val="009A7EED"/>
    <w:rsid w:val="009B0531"/>
    <w:rsid w:val="009B1037"/>
    <w:rsid w:val="009B31A1"/>
    <w:rsid w:val="009B5014"/>
    <w:rsid w:val="009C3E57"/>
    <w:rsid w:val="009C445E"/>
    <w:rsid w:val="009C674D"/>
    <w:rsid w:val="009C73EA"/>
    <w:rsid w:val="009D0CB8"/>
    <w:rsid w:val="009D3FA4"/>
    <w:rsid w:val="009D44A5"/>
    <w:rsid w:val="009D4FC4"/>
    <w:rsid w:val="009D501D"/>
    <w:rsid w:val="009D5A0C"/>
    <w:rsid w:val="009D7FF6"/>
    <w:rsid w:val="009E2AC2"/>
    <w:rsid w:val="009E4C30"/>
    <w:rsid w:val="009E7A60"/>
    <w:rsid w:val="009E7B61"/>
    <w:rsid w:val="009F0B12"/>
    <w:rsid w:val="009F2050"/>
    <w:rsid w:val="009F448E"/>
    <w:rsid w:val="009F4A17"/>
    <w:rsid w:val="009F6581"/>
    <w:rsid w:val="009F65B4"/>
    <w:rsid w:val="009F6922"/>
    <w:rsid w:val="00A0106B"/>
    <w:rsid w:val="00A04476"/>
    <w:rsid w:val="00A05A2C"/>
    <w:rsid w:val="00A0659C"/>
    <w:rsid w:val="00A06DD3"/>
    <w:rsid w:val="00A0758D"/>
    <w:rsid w:val="00A107A6"/>
    <w:rsid w:val="00A140AE"/>
    <w:rsid w:val="00A15FBA"/>
    <w:rsid w:val="00A1656C"/>
    <w:rsid w:val="00A20763"/>
    <w:rsid w:val="00A23D10"/>
    <w:rsid w:val="00A26B74"/>
    <w:rsid w:val="00A27B37"/>
    <w:rsid w:val="00A33E2D"/>
    <w:rsid w:val="00A342D4"/>
    <w:rsid w:val="00A36AE1"/>
    <w:rsid w:val="00A37532"/>
    <w:rsid w:val="00A400CD"/>
    <w:rsid w:val="00A401EE"/>
    <w:rsid w:val="00A40651"/>
    <w:rsid w:val="00A41938"/>
    <w:rsid w:val="00A43057"/>
    <w:rsid w:val="00A433F4"/>
    <w:rsid w:val="00A44FD8"/>
    <w:rsid w:val="00A512C1"/>
    <w:rsid w:val="00A52C30"/>
    <w:rsid w:val="00A547DA"/>
    <w:rsid w:val="00A54C74"/>
    <w:rsid w:val="00A57150"/>
    <w:rsid w:val="00A6065E"/>
    <w:rsid w:val="00A643AA"/>
    <w:rsid w:val="00A643BE"/>
    <w:rsid w:val="00A65D11"/>
    <w:rsid w:val="00A65D62"/>
    <w:rsid w:val="00A6633B"/>
    <w:rsid w:val="00A66FAC"/>
    <w:rsid w:val="00A67716"/>
    <w:rsid w:val="00A70AE0"/>
    <w:rsid w:val="00A7175B"/>
    <w:rsid w:val="00A72C82"/>
    <w:rsid w:val="00A752C4"/>
    <w:rsid w:val="00A767ED"/>
    <w:rsid w:val="00A80697"/>
    <w:rsid w:val="00A81995"/>
    <w:rsid w:val="00A846EE"/>
    <w:rsid w:val="00A85220"/>
    <w:rsid w:val="00A86784"/>
    <w:rsid w:val="00A86F06"/>
    <w:rsid w:val="00A871BE"/>
    <w:rsid w:val="00A87D32"/>
    <w:rsid w:val="00A87F25"/>
    <w:rsid w:val="00A9051F"/>
    <w:rsid w:val="00A90E91"/>
    <w:rsid w:val="00A9589F"/>
    <w:rsid w:val="00A961ED"/>
    <w:rsid w:val="00A96739"/>
    <w:rsid w:val="00AA2041"/>
    <w:rsid w:val="00AA4F4B"/>
    <w:rsid w:val="00AA6C44"/>
    <w:rsid w:val="00AA7681"/>
    <w:rsid w:val="00AA7B09"/>
    <w:rsid w:val="00AA7DE0"/>
    <w:rsid w:val="00AB0DFF"/>
    <w:rsid w:val="00AB2451"/>
    <w:rsid w:val="00AB279D"/>
    <w:rsid w:val="00AB282C"/>
    <w:rsid w:val="00AB315B"/>
    <w:rsid w:val="00AB4DEE"/>
    <w:rsid w:val="00AB5485"/>
    <w:rsid w:val="00AB7635"/>
    <w:rsid w:val="00AB7A8A"/>
    <w:rsid w:val="00AB7F21"/>
    <w:rsid w:val="00AC085D"/>
    <w:rsid w:val="00AC1046"/>
    <w:rsid w:val="00AC23BB"/>
    <w:rsid w:val="00AC2EC9"/>
    <w:rsid w:val="00AC5059"/>
    <w:rsid w:val="00AC5CA2"/>
    <w:rsid w:val="00AC7389"/>
    <w:rsid w:val="00AD0722"/>
    <w:rsid w:val="00AD176C"/>
    <w:rsid w:val="00AD290B"/>
    <w:rsid w:val="00AD2D1E"/>
    <w:rsid w:val="00AD2E29"/>
    <w:rsid w:val="00AD4FB3"/>
    <w:rsid w:val="00AD5246"/>
    <w:rsid w:val="00AD7F23"/>
    <w:rsid w:val="00AE1D52"/>
    <w:rsid w:val="00AE4C36"/>
    <w:rsid w:val="00AE55F5"/>
    <w:rsid w:val="00AF0773"/>
    <w:rsid w:val="00AF0AB4"/>
    <w:rsid w:val="00AF0FA0"/>
    <w:rsid w:val="00B0562B"/>
    <w:rsid w:val="00B10BB7"/>
    <w:rsid w:val="00B10EDC"/>
    <w:rsid w:val="00B14977"/>
    <w:rsid w:val="00B14D3F"/>
    <w:rsid w:val="00B17B9C"/>
    <w:rsid w:val="00B219A3"/>
    <w:rsid w:val="00B21EA0"/>
    <w:rsid w:val="00B265EF"/>
    <w:rsid w:val="00B2685A"/>
    <w:rsid w:val="00B273CE"/>
    <w:rsid w:val="00B27AC1"/>
    <w:rsid w:val="00B3113A"/>
    <w:rsid w:val="00B3141E"/>
    <w:rsid w:val="00B31AB0"/>
    <w:rsid w:val="00B323D5"/>
    <w:rsid w:val="00B33090"/>
    <w:rsid w:val="00B35DD7"/>
    <w:rsid w:val="00B36168"/>
    <w:rsid w:val="00B366D5"/>
    <w:rsid w:val="00B3720D"/>
    <w:rsid w:val="00B427A7"/>
    <w:rsid w:val="00B44C9F"/>
    <w:rsid w:val="00B44D0A"/>
    <w:rsid w:val="00B4507E"/>
    <w:rsid w:val="00B471CB"/>
    <w:rsid w:val="00B47349"/>
    <w:rsid w:val="00B47806"/>
    <w:rsid w:val="00B50436"/>
    <w:rsid w:val="00B51DDB"/>
    <w:rsid w:val="00B537BE"/>
    <w:rsid w:val="00B53DBA"/>
    <w:rsid w:val="00B60524"/>
    <w:rsid w:val="00B648A1"/>
    <w:rsid w:val="00B66B95"/>
    <w:rsid w:val="00B6756D"/>
    <w:rsid w:val="00B67B60"/>
    <w:rsid w:val="00B7123D"/>
    <w:rsid w:val="00B71D69"/>
    <w:rsid w:val="00B72EDD"/>
    <w:rsid w:val="00B73909"/>
    <w:rsid w:val="00B74813"/>
    <w:rsid w:val="00B751FF"/>
    <w:rsid w:val="00B758D4"/>
    <w:rsid w:val="00B75CBC"/>
    <w:rsid w:val="00B766DF"/>
    <w:rsid w:val="00B77720"/>
    <w:rsid w:val="00B77F93"/>
    <w:rsid w:val="00B805FC"/>
    <w:rsid w:val="00B80E68"/>
    <w:rsid w:val="00B8143F"/>
    <w:rsid w:val="00B82982"/>
    <w:rsid w:val="00B849E6"/>
    <w:rsid w:val="00B859CD"/>
    <w:rsid w:val="00B85EE7"/>
    <w:rsid w:val="00B85F45"/>
    <w:rsid w:val="00B90498"/>
    <w:rsid w:val="00B90D1B"/>
    <w:rsid w:val="00B937AA"/>
    <w:rsid w:val="00B9658F"/>
    <w:rsid w:val="00B96E72"/>
    <w:rsid w:val="00BA04AC"/>
    <w:rsid w:val="00BA0784"/>
    <w:rsid w:val="00BA0F1A"/>
    <w:rsid w:val="00BA18FB"/>
    <w:rsid w:val="00BA2A96"/>
    <w:rsid w:val="00BA3110"/>
    <w:rsid w:val="00BA3BF2"/>
    <w:rsid w:val="00BA596C"/>
    <w:rsid w:val="00BA6CC3"/>
    <w:rsid w:val="00BA7534"/>
    <w:rsid w:val="00BA7E1F"/>
    <w:rsid w:val="00BB07D9"/>
    <w:rsid w:val="00BB0A2D"/>
    <w:rsid w:val="00BB0F44"/>
    <w:rsid w:val="00BB2DF7"/>
    <w:rsid w:val="00BB5078"/>
    <w:rsid w:val="00BB5BE4"/>
    <w:rsid w:val="00BB72EE"/>
    <w:rsid w:val="00BB7701"/>
    <w:rsid w:val="00BC1159"/>
    <w:rsid w:val="00BC3E70"/>
    <w:rsid w:val="00BC485E"/>
    <w:rsid w:val="00BC6995"/>
    <w:rsid w:val="00BD1C25"/>
    <w:rsid w:val="00BD5A8F"/>
    <w:rsid w:val="00BE0A28"/>
    <w:rsid w:val="00BE131E"/>
    <w:rsid w:val="00BE288D"/>
    <w:rsid w:val="00BE6DA5"/>
    <w:rsid w:val="00BF20F0"/>
    <w:rsid w:val="00BF2382"/>
    <w:rsid w:val="00BF36BE"/>
    <w:rsid w:val="00BF5D5F"/>
    <w:rsid w:val="00C01D78"/>
    <w:rsid w:val="00C03707"/>
    <w:rsid w:val="00C03CFB"/>
    <w:rsid w:val="00C04643"/>
    <w:rsid w:val="00C047FD"/>
    <w:rsid w:val="00C04B4D"/>
    <w:rsid w:val="00C052D5"/>
    <w:rsid w:val="00C06E85"/>
    <w:rsid w:val="00C11057"/>
    <w:rsid w:val="00C12054"/>
    <w:rsid w:val="00C12504"/>
    <w:rsid w:val="00C15C80"/>
    <w:rsid w:val="00C1679E"/>
    <w:rsid w:val="00C169D2"/>
    <w:rsid w:val="00C16B16"/>
    <w:rsid w:val="00C177D1"/>
    <w:rsid w:val="00C20D97"/>
    <w:rsid w:val="00C21FFB"/>
    <w:rsid w:val="00C23A42"/>
    <w:rsid w:val="00C23C75"/>
    <w:rsid w:val="00C25A59"/>
    <w:rsid w:val="00C25E71"/>
    <w:rsid w:val="00C277C0"/>
    <w:rsid w:val="00C2791F"/>
    <w:rsid w:val="00C304C2"/>
    <w:rsid w:val="00C317A8"/>
    <w:rsid w:val="00C31B77"/>
    <w:rsid w:val="00C321B0"/>
    <w:rsid w:val="00C32F84"/>
    <w:rsid w:val="00C34F96"/>
    <w:rsid w:val="00C4194B"/>
    <w:rsid w:val="00C4328D"/>
    <w:rsid w:val="00C43E6B"/>
    <w:rsid w:val="00C45A0C"/>
    <w:rsid w:val="00C469BA"/>
    <w:rsid w:val="00C47469"/>
    <w:rsid w:val="00C502A0"/>
    <w:rsid w:val="00C50BC3"/>
    <w:rsid w:val="00C516E9"/>
    <w:rsid w:val="00C534EA"/>
    <w:rsid w:val="00C53B9E"/>
    <w:rsid w:val="00C548F2"/>
    <w:rsid w:val="00C54D00"/>
    <w:rsid w:val="00C55091"/>
    <w:rsid w:val="00C60E2F"/>
    <w:rsid w:val="00C620BD"/>
    <w:rsid w:val="00C628C5"/>
    <w:rsid w:val="00C643A0"/>
    <w:rsid w:val="00C644D8"/>
    <w:rsid w:val="00C65486"/>
    <w:rsid w:val="00C671FB"/>
    <w:rsid w:val="00C673D7"/>
    <w:rsid w:val="00C67431"/>
    <w:rsid w:val="00C67766"/>
    <w:rsid w:val="00C72B43"/>
    <w:rsid w:val="00C7360A"/>
    <w:rsid w:val="00C76422"/>
    <w:rsid w:val="00C77046"/>
    <w:rsid w:val="00C84D7D"/>
    <w:rsid w:val="00C85159"/>
    <w:rsid w:val="00C85529"/>
    <w:rsid w:val="00C86D4A"/>
    <w:rsid w:val="00C877DD"/>
    <w:rsid w:val="00C91F65"/>
    <w:rsid w:val="00C920C0"/>
    <w:rsid w:val="00C9261B"/>
    <w:rsid w:val="00C93A8B"/>
    <w:rsid w:val="00C94696"/>
    <w:rsid w:val="00C972D8"/>
    <w:rsid w:val="00CA0BAE"/>
    <w:rsid w:val="00CA0C6C"/>
    <w:rsid w:val="00CA16F8"/>
    <w:rsid w:val="00CA29F0"/>
    <w:rsid w:val="00CA2BE0"/>
    <w:rsid w:val="00CA3821"/>
    <w:rsid w:val="00CA4BAA"/>
    <w:rsid w:val="00CA4F61"/>
    <w:rsid w:val="00CA6C90"/>
    <w:rsid w:val="00CA7151"/>
    <w:rsid w:val="00CB0ACD"/>
    <w:rsid w:val="00CB1A10"/>
    <w:rsid w:val="00CB4DB1"/>
    <w:rsid w:val="00CB5C6F"/>
    <w:rsid w:val="00CC02BA"/>
    <w:rsid w:val="00CC1B74"/>
    <w:rsid w:val="00CC1BD7"/>
    <w:rsid w:val="00CC6599"/>
    <w:rsid w:val="00CC7811"/>
    <w:rsid w:val="00CC7837"/>
    <w:rsid w:val="00CC7A69"/>
    <w:rsid w:val="00CD0024"/>
    <w:rsid w:val="00CD00C3"/>
    <w:rsid w:val="00CD05BD"/>
    <w:rsid w:val="00CD20D0"/>
    <w:rsid w:val="00CD2326"/>
    <w:rsid w:val="00CD2829"/>
    <w:rsid w:val="00CD7F81"/>
    <w:rsid w:val="00CE3C73"/>
    <w:rsid w:val="00CE73C8"/>
    <w:rsid w:val="00CF09FD"/>
    <w:rsid w:val="00CF14E7"/>
    <w:rsid w:val="00CF21E8"/>
    <w:rsid w:val="00CF38AC"/>
    <w:rsid w:val="00CF4770"/>
    <w:rsid w:val="00D029AE"/>
    <w:rsid w:val="00D0324E"/>
    <w:rsid w:val="00D038A7"/>
    <w:rsid w:val="00D04105"/>
    <w:rsid w:val="00D10E4E"/>
    <w:rsid w:val="00D12EC7"/>
    <w:rsid w:val="00D138F0"/>
    <w:rsid w:val="00D14DC0"/>
    <w:rsid w:val="00D15388"/>
    <w:rsid w:val="00D1599D"/>
    <w:rsid w:val="00D16319"/>
    <w:rsid w:val="00D20BB2"/>
    <w:rsid w:val="00D22980"/>
    <w:rsid w:val="00D22DA2"/>
    <w:rsid w:val="00D2397D"/>
    <w:rsid w:val="00D243A5"/>
    <w:rsid w:val="00D24B86"/>
    <w:rsid w:val="00D24CCA"/>
    <w:rsid w:val="00D24E6D"/>
    <w:rsid w:val="00D26CA6"/>
    <w:rsid w:val="00D271E7"/>
    <w:rsid w:val="00D2731E"/>
    <w:rsid w:val="00D300AE"/>
    <w:rsid w:val="00D30C12"/>
    <w:rsid w:val="00D31F93"/>
    <w:rsid w:val="00D32550"/>
    <w:rsid w:val="00D32F2F"/>
    <w:rsid w:val="00D33389"/>
    <w:rsid w:val="00D34193"/>
    <w:rsid w:val="00D35424"/>
    <w:rsid w:val="00D35A20"/>
    <w:rsid w:val="00D35B24"/>
    <w:rsid w:val="00D374DF"/>
    <w:rsid w:val="00D41CD2"/>
    <w:rsid w:val="00D41F24"/>
    <w:rsid w:val="00D426FC"/>
    <w:rsid w:val="00D43081"/>
    <w:rsid w:val="00D43655"/>
    <w:rsid w:val="00D43CB1"/>
    <w:rsid w:val="00D47A3A"/>
    <w:rsid w:val="00D505D3"/>
    <w:rsid w:val="00D509D6"/>
    <w:rsid w:val="00D50BAE"/>
    <w:rsid w:val="00D50D00"/>
    <w:rsid w:val="00D50D88"/>
    <w:rsid w:val="00D520A5"/>
    <w:rsid w:val="00D534B7"/>
    <w:rsid w:val="00D5425F"/>
    <w:rsid w:val="00D601C2"/>
    <w:rsid w:val="00D62CD7"/>
    <w:rsid w:val="00D63BEA"/>
    <w:rsid w:val="00D63DE4"/>
    <w:rsid w:val="00D648AF"/>
    <w:rsid w:val="00D71510"/>
    <w:rsid w:val="00D7185C"/>
    <w:rsid w:val="00D733B3"/>
    <w:rsid w:val="00D73DB2"/>
    <w:rsid w:val="00D75FB3"/>
    <w:rsid w:val="00D75FCD"/>
    <w:rsid w:val="00D80710"/>
    <w:rsid w:val="00D815EC"/>
    <w:rsid w:val="00D81646"/>
    <w:rsid w:val="00D8250B"/>
    <w:rsid w:val="00D82729"/>
    <w:rsid w:val="00D83670"/>
    <w:rsid w:val="00D901C8"/>
    <w:rsid w:val="00D91180"/>
    <w:rsid w:val="00D91B68"/>
    <w:rsid w:val="00D9259D"/>
    <w:rsid w:val="00D928FB"/>
    <w:rsid w:val="00D936C1"/>
    <w:rsid w:val="00D93D00"/>
    <w:rsid w:val="00D95935"/>
    <w:rsid w:val="00DA07F2"/>
    <w:rsid w:val="00DA1869"/>
    <w:rsid w:val="00DA2F8B"/>
    <w:rsid w:val="00DA33A6"/>
    <w:rsid w:val="00DA3D72"/>
    <w:rsid w:val="00DA478A"/>
    <w:rsid w:val="00DA489B"/>
    <w:rsid w:val="00DA4DEB"/>
    <w:rsid w:val="00DB291F"/>
    <w:rsid w:val="00DB3FC6"/>
    <w:rsid w:val="00DB61CD"/>
    <w:rsid w:val="00DB633E"/>
    <w:rsid w:val="00DB743F"/>
    <w:rsid w:val="00DC04F2"/>
    <w:rsid w:val="00DC1004"/>
    <w:rsid w:val="00DC1A58"/>
    <w:rsid w:val="00DC60E3"/>
    <w:rsid w:val="00DC7D2A"/>
    <w:rsid w:val="00DD3366"/>
    <w:rsid w:val="00DD3FE8"/>
    <w:rsid w:val="00DD4F77"/>
    <w:rsid w:val="00DD5411"/>
    <w:rsid w:val="00DD7B7A"/>
    <w:rsid w:val="00DE0588"/>
    <w:rsid w:val="00DE0D4A"/>
    <w:rsid w:val="00DE0D78"/>
    <w:rsid w:val="00DE36C7"/>
    <w:rsid w:val="00DE63A1"/>
    <w:rsid w:val="00DF0047"/>
    <w:rsid w:val="00DF2ADC"/>
    <w:rsid w:val="00DF5100"/>
    <w:rsid w:val="00DF5C70"/>
    <w:rsid w:val="00E0080E"/>
    <w:rsid w:val="00E01A07"/>
    <w:rsid w:val="00E04ECA"/>
    <w:rsid w:val="00E05C05"/>
    <w:rsid w:val="00E06929"/>
    <w:rsid w:val="00E06951"/>
    <w:rsid w:val="00E101D5"/>
    <w:rsid w:val="00E10FAF"/>
    <w:rsid w:val="00E130CD"/>
    <w:rsid w:val="00E13B6C"/>
    <w:rsid w:val="00E1781F"/>
    <w:rsid w:val="00E2082D"/>
    <w:rsid w:val="00E22DF7"/>
    <w:rsid w:val="00E22F3C"/>
    <w:rsid w:val="00E23752"/>
    <w:rsid w:val="00E24351"/>
    <w:rsid w:val="00E24ECF"/>
    <w:rsid w:val="00E30FDF"/>
    <w:rsid w:val="00E325D6"/>
    <w:rsid w:val="00E3278C"/>
    <w:rsid w:val="00E33164"/>
    <w:rsid w:val="00E33AAD"/>
    <w:rsid w:val="00E33C08"/>
    <w:rsid w:val="00E34BE5"/>
    <w:rsid w:val="00E37822"/>
    <w:rsid w:val="00E42CDB"/>
    <w:rsid w:val="00E42E8E"/>
    <w:rsid w:val="00E479CD"/>
    <w:rsid w:val="00E47AF4"/>
    <w:rsid w:val="00E50E84"/>
    <w:rsid w:val="00E5185B"/>
    <w:rsid w:val="00E51AEB"/>
    <w:rsid w:val="00E54C88"/>
    <w:rsid w:val="00E5624D"/>
    <w:rsid w:val="00E56896"/>
    <w:rsid w:val="00E606F8"/>
    <w:rsid w:val="00E60881"/>
    <w:rsid w:val="00E60CE5"/>
    <w:rsid w:val="00E64363"/>
    <w:rsid w:val="00E64AC1"/>
    <w:rsid w:val="00E7255C"/>
    <w:rsid w:val="00E74D23"/>
    <w:rsid w:val="00E75297"/>
    <w:rsid w:val="00E77091"/>
    <w:rsid w:val="00E772B2"/>
    <w:rsid w:val="00E77B61"/>
    <w:rsid w:val="00E80029"/>
    <w:rsid w:val="00E821FD"/>
    <w:rsid w:val="00E825FF"/>
    <w:rsid w:val="00E82D7D"/>
    <w:rsid w:val="00E83394"/>
    <w:rsid w:val="00E83E88"/>
    <w:rsid w:val="00E85D46"/>
    <w:rsid w:val="00E862B7"/>
    <w:rsid w:val="00E87B44"/>
    <w:rsid w:val="00E92C41"/>
    <w:rsid w:val="00E92F53"/>
    <w:rsid w:val="00E936F4"/>
    <w:rsid w:val="00E94B84"/>
    <w:rsid w:val="00E96B8A"/>
    <w:rsid w:val="00E96D0D"/>
    <w:rsid w:val="00EA0798"/>
    <w:rsid w:val="00EA3101"/>
    <w:rsid w:val="00EA3CFE"/>
    <w:rsid w:val="00EA472D"/>
    <w:rsid w:val="00EA4FE0"/>
    <w:rsid w:val="00EA613F"/>
    <w:rsid w:val="00EA7DCA"/>
    <w:rsid w:val="00EB2344"/>
    <w:rsid w:val="00EB3580"/>
    <w:rsid w:val="00EB3A53"/>
    <w:rsid w:val="00EB51BD"/>
    <w:rsid w:val="00EC0493"/>
    <w:rsid w:val="00EC478D"/>
    <w:rsid w:val="00EC5413"/>
    <w:rsid w:val="00EC6565"/>
    <w:rsid w:val="00EC6A65"/>
    <w:rsid w:val="00ED05F7"/>
    <w:rsid w:val="00ED1687"/>
    <w:rsid w:val="00ED460D"/>
    <w:rsid w:val="00ED610D"/>
    <w:rsid w:val="00ED64EE"/>
    <w:rsid w:val="00ED7536"/>
    <w:rsid w:val="00ED78F7"/>
    <w:rsid w:val="00ED7C1D"/>
    <w:rsid w:val="00ED7FEE"/>
    <w:rsid w:val="00EE0495"/>
    <w:rsid w:val="00EE06D0"/>
    <w:rsid w:val="00EE0943"/>
    <w:rsid w:val="00EE10AD"/>
    <w:rsid w:val="00EE4F96"/>
    <w:rsid w:val="00EE5DC1"/>
    <w:rsid w:val="00EE7E0D"/>
    <w:rsid w:val="00EF1AAE"/>
    <w:rsid w:val="00EF2F6A"/>
    <w:rsid w:val="00EF3139"/>
    <w:rsid w:val="00EF3A30"/>
    <w:rsid w:val="00EF4387"/>
    <w:rsid w:val="00EF6103"/>
    <w:rsid w:val="00EF79A1"/>
    <w:rsid w:val="00EF7C77"/>
    <w:rsid w:val="00F01E51"/>
    <w:rsid w:val="00F03B59"/>
    <w:rsid w:val="00F046BF"/>
    <w:rsid w:val="00F0512E"/>
    <w:rsid w:val="00F055AE"/>
    <w:rsid w:val="00F0565A"/>
    <w:rsid w:val="00F0722C"/>
    <w:rsid w:val="00F07247"/>
    <w:rsid w:val="00F1442B"/>
    <w:rsid w:val="00F15689"/>
    <w:rsid w:val="00F169D8"/>
    <w:rsid w:val="00F178F9"/>
    <w:rsid w:val="00F17B34"/>
    <w:rsid w:val="00F20CAB"/>
    <w:rsid w:val="00F2257F"/>
    <w:rsid w:val="00F2404E"/>
    <w:rsid w:val="00F24E84"/>
    <w:rsid w:val="00F26401"/>
    <w:rsid w:val="00F274E0"/>
    <w:rsid w:val="00F30D77"/>
    <w:rsid w:val="00F33E56"/>
    <w:rsid w:val="00F340D1"/>
    <w:rsid w:val="00F40599"/>
    <w:rsid w:val="00F40F38"/>
    <w:rsid w:val="00F411E9"/>
    <w:rsid w:val="00F41714"/>
    <w:rsid w:val="00F42511"/>
    <w:rsid w:val="00F4471D"/>
    <w:rsid w:val="00F4569B"/>
    <w:rsid w:val="00F4616D"/>
    <w:rsid w:val="00F46555"/>
    <w:rsid w:val="00F47131"/>
    <w:rsid w:val="00F504CB"/>
    <w:rsid w:val="00F52454"/>
    <w:rsid w:val="00F5323C"/>
    <w:rsid w:val="00F5364F"/>
    <w:rsid w:val="00F56338"/>
    <w:rsid w:val="00F60F8B"/>
    <w:rsid w:val="00F62E5A"/>
    <w:rsid w:val="00F636E6"/>
    <w:rsid w:val="00F657A6"/>
    <w:rsid w:val="00F657E4"/>
    <w:rsid w:val="00F66E47"/>
    <w:rsid w:val="00F670A6"/>
    <w:rsid w:val="00F67FCA"/>
    <w:rsid w:val="00F71A6D"/>
    <w:rsid w:val="00F71F86"/>
    <w:rsid w:val="00F73BBE"/>
    <w:rsid w:val="00F73C3C"/>
    <w:rsid w:val="00F74E58"/>
    <w:rsid w:val="00F75EA9"/>
    <w:rsid w:val="00F76A10"/>
    <w:rsid w:val="00F7754F"/>
    <w:rsid w:val="00F77E95"/>
    <w:rsid w:val="00F80A93"/>
    <w:rsid w:val="00F817FB"/>
    <w:rsid w:val="00F81B1A"/>
    <w:rsid w:val="00F81EC2"/>
    <w:rsid w:val="00F8330A"/>
    <w:rsid w:val="00F84678"/>
    <w:rsid w:val="00F8471D"/>
    <w:rsid w:val="00F84E71"/>
    <w:rsid w:val="00F86476"/>
    <w:rsid w:val="00F86736"/>
    <w:rsid w:val="00F86B6C"/>
    <w:rsid w:val="00F90237"/>
    <w:rsid w:val="00F918A4"/>
    <w:rsid w:val="00F95451"/>
    <w:rsid w:val="00F95B9F"/>
    <w:rsid w:val="00F96053"/>
    <w:rsid w:val="00F964B6"/>
    <w:rsid w:val="00F9683B"/>
    <w:rsid w:val="00F976B1"/>
    <w:rsid w:val="00FA0AAF"/>
    <w:rsid w:val="00FA5ABF"/>
    <w:rsid w:val="00FA63BF"/>
    <w:rsid w:val="00FB271A"/>
    <w:rsid w:val="00FB36A4"/>
    <w:rsid w:val="00FB37E6"/>
    <w:rsid w:val="00FB5F62"/>
    <w:rsid w:val="00FB765D"/>
    <w:rsid w:val="00FC0100"/>
    <w:rsid w:val="00FC1EA4"/>
    <w:rsid w:val="00FC1F25"/>
    <w:rsid w:val="00FC368E"/>
    <w:rsid w:val="00FC3968"/>
    <w:rsid w:val="00FC4C26"/>
    <w:rsid w:val="00FC4D22"/>
    <w:rsid w:val="00FC554D"/>
    <w:rsid w:val="00FC5DC9"/>
    <w:rsid w:val="00FC672E"/>
    <w:rsid w:val="00FC7734"/>
    <w:rsid w:val="00FD1479"/>
    <w:rsid w:val="00FD27F4"/>
    <w:rsid w:val="00FD33E1"/>
    <w:rsid w:val="00FD42BC"/>
    <w:rsid w:val="00FD4FD8"/>
    <w:rsid w:val="00FD5561"/>
    <w:rsid w:val="00FD7C13"/>
    <w:rsid w:val="00FE0C29"/>
    <w:rsid w:val="00FE28A2"/>
    <w:rsid w:val="00FE38BC"/>
    <w:rsid w:val="00FE3913"/>
    <w:rsid w:val="00FE44EE"/>
    <w:rsid w:val="00FF237C"/>
    <w:rsid w:val="00FF54C1"/>
    <w:rsid w:val="00FF59BA"/>
    <w:rsid w:val="00FF6993"/>
    <w:rsid w:val="00FF721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6E88D"/>
  <w15:chartTrackingRefBased/>
  <w15:docId w15:val="{FB410E31-51F5-4CC9-B290-88E027F9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NZ"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iPriority="4"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iPriority="5" w:unhideWhenUsed="1"/>
    <w:lsdException w:name="List Bullet 3" w:locked="0" w:semiHidden="1" w:uiPriority="5"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uiPriority="9"/>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semiHidden="1" w:uiPriority="22" w:qFormat="1"/>
    <w:lsdException w:name="Emphasis" w:locked="0" w:semiHidden="1"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qFormat="1"/>
    <w:lsdException w:name="Quote" w:locked="0" w:semiHidden="1" w:uiPriority="29"/>
    <w:lsdException w:name="Intense Quote" w:locked="0"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lsdException w:name="Intense Emphasis" w:locked="0" w:semiHidden="1" w:uiPriority="21"/>
    <w:lsdException w:name="Subtle Reference" w:locked="0" w:semiHidden="1" w:uiPriority="31"/>
    <w:lsdException w:name="Intense Reference" w:locked="0" w:semiHidden="1" w:uiPriority="32"/>
    <w:lsdException w:name="Book Title" w:locked="0" w:semiHidden="1"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locked="0"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locked="0"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locked="0"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locked="0"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C4045"/>
  </w:style>
  <w:style w:type="paragraph" w:styleId="Heading1">
    <w:name w:val="heading 1"/>
    <w:basedOn w:val="Normal"/>
    <w:next w:val="Normal"/>
    <w:link w:val="Heading1Char"/>
    <w:uiPriority w:val="9"/>
    <w:qFormat/>
    <w:locked/>
    <w:rsid w:val="00E56896"/>
    <w:pPr>
      <w:keepNext/>
      <w:keepLines/>
      <w:spacing w:before="240" w:after="120"/>
      <w:outlineLvl w:val="0"/>
    </w:pPr>
    <w:rPr>
      <w:rFonts w:eastAsiaTheme="majorEastAsia" w:cstheme="majorBidi"/>
      <w:b/>
      <w:color w:val="92B523" w:themeColor="accent1"/>
      <w:sz w:val="40"/>
      <w:szCs w:val="32"/>
    </w:rPr>
  </w:style>
  <w:style w:type="paragraph" w:styleId="Heading2">
    <w:name w:val="heading 2"/>
    <w:basedOn w:val="Normal"/>
    <w:next w:val="Normal"/>
    <w:link w:val="Heading2Char"/>
    <w:uiPriority w:val="9"/>
    <w:unhideWhenUsed/>
    <w:qFormat/>
    <w:locked/>
    <w:rsid w:val="00E56896"/>
    <w:pPr>
      <w:keepNext/>
      <w:keepLines/>
      <w:spacing w:before="40" w:after="120"/>
      <w:outlineLvl w:val="1"/>
    </w:pPr>
    <w:rPr>
      <w:rFonts w:eastAsiaTheme="majorEastAsia" w:cstheme="majorBidi"/>
      <w:b/>
      <w:noProof/>
      <w:color w:val="92B523" w:themeColor="accent1"/>
      <w:sz w:val="28"/>
      <w:szCs w:val="26"/>
      <w:lang w:eastAsia="en-NZ"/>
    </w:rPr>
  </w:style>
  <w:style w:type="paragraph" w:styleId="Heading3">
    <w:name w:val="heading 3"/>
    <w:basedOn w:val="Normal"/>
    <w:next w:val="Normal"/>
    <w:link w:val="Heading3Char"/>
    <w:uiPriority w:val="9"/>
    <w:semiHidden/>
    <w:qFormat/>
    <w:rsid w:val="005047F3"/>
    <w:pPr>
      <w:keepNext/>
      <w:keepLines/>
      <w:spacing w:before="40" w:after="0"/>
      <w:outlineLvl w:val="2"/>
    </w:pPr>
    <w:rPr>
      <w:rFonts w:asciiTheme="majorHAnsi" w:eastAsiaTheme="majorEastAsia" w:hAnsiTheme="majorHAnsi" w:cstheme="majorBidi"/>
      <w:color w:val="485911" w:themeColor="accent1" w:themeShade="7F"/>
      <w:sz w:val="24"/>
      <w:szCs w:val="24"/>
    </w:rPr>
  </w:style>
  <w:style w:type="paragraph" w:styleId="Heading4">
    <w:name w:val="heading 4"/>
    <w:basedOn w:val="Normal"/>
    <w:next w:val="Normal"/>
    <w:link w:val="Heading4Char"/>
    <w:uiPriority w:val="9"/>
    <w:semiHidden/>
    <w:unhideWhenUsed/>
    <w:rsid w:val="00D5425F"/>
    <w:pPr>
      <w:keepNext/>
      <w:keepLines/>
      <w:spacing w:before="40" w:after="0"/>
      <w:outlineLvl w:val="3"/>
    </w:pPr>
    <w:rPr>
      <w:rFonts w:asciiTheme="majorHAnsi" w:eastAsiaTheme="majorEastAsia" w:hAnsiTheme="majorHAnsi" w:cstheme="majorBidi"/>
      <w:i/>
      <w:iCs/>
      <w:color w:val="6C871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6896"/>
    <w:rPr>
      <w:rFonts w:eastAsiaTheme="majorEastAsia" w:cstheme="majorBidi"/>
      <w:b/>
      <w:noProof/>
      <w:color w:val="92B523" w:themeColor="accent1"/>
      <w:sz w:val="28"/>
      <w:szCs w:val="26"/>
      <w:lang w:eastAsia="en-NZ"/>
    </w:rPr>
  </w:style>
  <w:style w:type="table" w:styleId="TableGrid">
    <w:name w:val="Table Grid"/>
    <w:basedOn w:val="TableNormal"/>
    <w:uiPriority w:val="39"/>
    <w:locked/>
    <w:rsid w:val="00F41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Normal,Colorful List - Accent 11,List Paragraph numbered,List Paragraph1,List Bullet indent"/>
    <w:basedOn w:val="Normal"/>
    <w:link w:val="ListParagraphChar"/>
    <w:uiPriority w:val="99"/>
    <w:qFormat/>
    <w:rsid w:val="00886FAB"/>
    <w:pPr>
      <w:ind w:left="720"/>
      <w:contextualSpacing/>
    </w:pPr>
  </w:style>
  <w:style w:type="character" w:customStyle="1" w:styleId="Heading1Char">
    <w:name w:val="Heading 1 Char"/>
    <w:basedOn w:val="DefaultParagraphFont"/>
    <w:link w:val="Heading1"/>
    <w:uiPriority w:val="9"/>
    <w:rsid w:val="00E56896"/>
    <w:rPr>
      <w:rFonts w:eastAsiaTheme="majorEastAsia" w:cstheme="majorBidi"/>
      <w:b/>
      <w:color w:val="92B523" w:themeColor="accent1"/>
      <w:sz w:val="40"/>
      <w:szCs w:val="32"/>
    </w:rPr>
  </w:style>
  <w:style w:type="character" w:customStyle="1" w:styleId="Heading3Char">
    <w:name w:val="Heading 3 Char"/>
    <w:basedOn w:val="DefaultParagraphFont"/>
    <w:link w:val="Heading3"/>
    <w:uiPriority w:val="9"/>
    <w:semiHidden/>
    <w:rsid w:val="005047F3"/>
    <w:rPr>
      <w:rFonts w:asciiTheme="majorHAnsi" w:eastAsiaTheme="majorEastAsia" w:hAnsiTheme="majorHAnsi" w:cstheme="majorBidi"/>
      <w:color w:val="485911" w:themeColor="accent1" w:themeShade="7F"/>
      <w:sz w:val="24"/>
      <w:szCs w:val="24"/>
    </w:rPr>
  </w:style>
  <w:style w:type="paragraph" w:styleId="CommentText">
    <w:name w:val="annotation text"/>
    <w:basedOn w:val="Normal"/>
    <w:link w:val="CommentTextChar"/>
    <w:uiPriority w:val="99"/>
    <w:semiHidden/>
    <w:unhideWhenUsed/>
    <w:rsid w:val="00EE10AD"/>
    <w:pPr>
      <w:spacing w:after="120" w:line="240" w:lineRule="auto"/>
    </w:pPr>
    <w:rPr>
      <w:sz w:val="20"/>
      <w:szCs w:val="20"/>
    </w:rPr>
  </w:style>
  <w:style w:type="character" w:customStyle="1" w:styleId="CommentTextChar">
    <w:name w:val="Comment Text Char"/>
    <w:basedOn w:val="DefaultParagraphFont"/>
    <w:link w:val="CommentText"/>
    <w:uiPriority w:val="99"/>
    <w:semiHidden/>
    <w:rsid w:val="00EE10AD"/>
    <w:rPr>
      <w:sz w:val="20"/>
      <w:szCs w:val="20"/>
    </w:rPr>
  </w:style>
  <w:style w:type="character" w:customStyle="1" w:styleId="ListParagraphChar">
    <w:name w:val="List Paragraph Char"/>
    <w:aliases w:val="Bullet Normal Char,Colorful List - Accent 11 Char,List Paragraph numbered Char,List Paragraph1 Char,List Bullet indent Char"/>
    <w:basedOn w:val="DefaultParagraphFont"/>
    <w:link w:val="ListParagraph"/>
    <w:uiPriority w:val="99"/>
    <w:locked/>
    <w:rsid w:val="006551EA"/>
  </w:style>
  <w:style w:type="paragraph" w:styleId="BalloonText">
    <w:name w:val="Balloon Text"/>
    <w:basedOn w:val="Normal"/>
    <w:link w:val="BalloonTextChar"/>
    <w:uiPriority w:val="99"/>
    <w:semiHidden/>
    <w:unhideWhenUsed/>
    <w:rsid w:val="00000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F0B"/>
    <w:rPr>
      <w:rFonts w:ascii="Segoe UI" w:hAnsi="Segoe UI" w:cs="Segoe UI"/>
      <w:sz w:val="18"/>
      <w:szCs w:val="18"/>
    </w:rPr>
  </w:style>
  <w:style w:type="paragraph" w:styleId="FootnoteText">
    <w:name w:val="footnote text"/>
    <w:basedOn w:val="Normal"/>
    <w:link w:val="FootnoteTextChar"/>
    <w:uiPriority w:val="99"/>
    <w:unhideWhenUsed/>
    <w:rsid w:val="00D91180"/>
    <w:pPr>
      <w:spacing w:after="0" w:line="240" w:lineRule="auto"/>
    </w:pPr>
    <w:rPr>
      <w:sz w:val="20"/>
      <w:szCs w:val="20"/>
    </w:rPr>
  </w:style>
  <w:style w:type="character" w:customStyle="1" w:styleId="FootnoteTextChar">
    <w:name w:val="Footnote Text Char"/>
    <w:basedOn w:val="DefaultParagraphFont"/>
    <w:link w:val="FootnoteText"/>
    <w:uiPriority w:val="99"/>
    <w:rsid w:val="00D91180"/>
    <w:rPr>
      <w:sz w:val="20"/>
      <w:szCs w:val="20"/>
    </w:rPr>
  </w:style>
  <w:style w:type="character" w:styleId="FootnoteReference">
    <w:name w:val="footnote reference"/>
    <w:basedOn w:val="DefaultParagraphFont"/>
    <w:uiPriority w:val="99"/>
    <w:semiHidden/>
    <w:unhideWhenUsed/>
    <w:rsid w:val="00D91180"/>
    <w:rPr>
      <w:vertAlign w:val="superscript"/>
    </w:rPr>
  </w:style>
  <w:style w:type="paragraph" w:styleId="Header">
    <w:name w:val="header"/>
    <w:basedOn w:val="Normal"/>
    <w:link w:val="HeaderChar"/>
    <w:uiPriority w:val="99"/>
    <w:semiHidden/>
    <w:rsid w:val="006214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323C"/>
  </w:style>
  <w:style w:type="paragraph" w:styleId="Footer">
    <w:name w:val="footer"/>
    <w:basedOn w:val="Normal"/>
    <w:link w:val="FooterChar"/>
    <w:uiPriority w:val="99"/>
    <w:rsid w:val="00621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23C"/>
  </w:style>
  <w:style w:type="paragraph" w:styleId="NormalWeb">
    <w:name w:val="Normal (Web)"/>
    <w:basedOn w:val="Normal"/>
    <w:uiPriority w:val="99"/>
    <w:semiHidden/>
    <w:unhideWhenUsed/>
    <w:rsid w:val="00EC478D"/>
    <w:pPr>
      <w:spacing w:before="100" w:beforeAutospacing="1" w:after="100" w:afterAutospacing="1" w:line="240" w:lineRule="auto"/>
    </w:pPr>
    <w:rPr>
      <w:rFonts w:ascii="Times New Roman" w:eastAsiaTheme="minorEastAsia" w:hAnsi="Times New Roman" w:cs="Times New Roman"/>
      <w:sz w:val="24"/>
      <w:szCs w:val="24"/>
      <w:lang w:eastAsia="en-NZ"/>
    </w:rPr>
  </w:style>
  <w:style w:type="table" w:styleId="LightList-Accent1">
    <w:name w:val="Light List Accent 1"/>
    <w:basedOn w:val="TableNormal"/>
    <w:uiPriority w:val="61"/>
    <w:locked/>
    <w:rsid w:val="00B7123D"/>
    <w:pPr>
      <w:spacing w:after="0" w:line="240" w:lineRule="auto"/>
    </w:pPr>
    <w:rPr>
      <w:rFonts w:ascii="Arial" w:eastAsiaTheme="minorEastAsia" w:hAnsi="Arial" w:cs="Times New Roman"/>
      <w:lang w:val="en-US" w:eastAsia="ja-JP"/>
    </w:rPr>
    <w:tblPr>
      <w:tblStyleRowBandSize w:val="1"/>
      <w:tblStyleColBandSize w:val="1"/>
      <w:tblBorders>
        <w:top w:val="single" w:sz="8" w:space="0" w:color="92B523" w:themeColor="accent1"/>
        <w:left w:val="single" w:sz="8" w:space="0" w:color="92B523" w:themeColor="accent1"/>
        <w:bottom w:val="single" w:sz="8" w:space="0" w:color="92B523" w:themeColor="accent1"/>
        <w:right w:val="single" w:sz="8" w:space="0" w:color="92B523" w:themeColor="accent1"/>
      </w:tblBorders>
    </w:tblPr>
    <w:tblStylePr w:type="firstRow">
      <w:pPr>
        <w:spacing w:before="0" w:after="0" w:line="240" w:lineRule="auto"/>
      </w:pPr>
      <w:rPr>
        <w:b/>
        <w:bCs/>
        <w:color w:val="FFFFFF" w:themeColor="background1"/>
      </w:rPr>
      <w:tblPr/>
      <w:tcPr>
        <w:shd w:val="clear" w:color="auto" w:fill="92B523" w:themeFill="accent1"/>
      </w:tcPr>
    </w:tblStylePr>
    <w:tblStylePr w:type="lastRow">
      <w:pPr>
        <w:spacing w:before="0" w:after="0" w:line="240" w:lineRule="auto"/>
      </w:pPr>
      <w:rPr>
        <w:b/>
        <w:bCs/>
      </w:rPr>
      <w:tblPr/>
      <w:tcPr>
        <w:tcBorders>
          <w:top w:val="double" w:sz="6" w:space="0" w:color="92B523" w:themeColor="accent1"/>
          <w:left w:val="single" w:sz="8" w:space="0" w:color="92B523" w:themeColor="accent1"/>
          <w:bottom w:val="single" w:sz="8" w:space="0" w:color="92B523" w:themeColor="accent1"/>
          <w:right w:val="single" w:sz="8" w:space="0" w:color="92B523" w:themeColor="accent1"/>
        </w:tcBorders>
      </w:tcPr>
    </w:tblStylePr>
    <w:tblStylePr w:type="firstCol">
      <w:rPr>
        <w:b/>
        <w:bCs/>
      </w:rPr>
    </w:tblStylePr>
    <w:tblStylePr w:type="lastCol">
      <w:rPr>
        <w:b/>
        <w:bCs/>
      </w:rPr>
    </w:tblStylePr>
    <w:tblStylePr w:type="band1Vert">
      <w:tblPr/>
      <w:tcPr>
        <w:tcBorders>
          <w:top w:val="single" w:sz="8" w:space="0" w:color="92B523" w:themeColor="accent1"/>
          <w:left w:val="single" w:sz="8" w:space="0" w:color="92B523" w:themeColor="accent1"/>
          <w:bottom w:val="single" w:sz="8" w:space="0" w:color="92B523" w:themeColor="accent1"/>
          <w:right w:val="single" w:sz="8" w:space="0" w:color="92B523" w:themeColor="accent1"/>
        </w:tcBorders>
      </w:tcPr>
    </w:tblStylePr>
    <w:tblStylePr w:type="band1Horz">
      <w:tblPr/>
      <w:tcPr>
        <w:tcBorders>
          <w:top w:val="single" w:sz="8" w:space="0" w:color="92B523" w:themeColor="accent1"/>
          <w:left w:val="single" w:sz="8" w:space="0" w:color="92B523" w:themeColor="accent1"/>
          <w:bottom w:val="single" w:sz="8" w:space="0" w:color="92B523" w:themeColor="accent1"/>
          <w:right w:val="single" w:sz="8" w:space="0" w:color="92B523" w:themeColor="accent1"/>
        </w:tcBorders>
      </w:tcPr>
    </w:tblStylePr>
  </w:style>
  <w:style w:type="paragraph" w:styleId="Title">
    <w:name w:val="Title"/>
    <w:basedOn w:val="Normal"/>
    <w:next w:val="Normal"/>
    <w:link w:val="TitleChar"/>
    <w:qFormat/>
    <w:locked/>
    <w:rsid w:val="00E56896"/>
    <w:pPr>
      <w:jc w:val="right"/>
    </w:pPr>
    <w:rPr>
      <w:b/>
      <w:color w:val="92B523" w:themeColor="accent1"/>
      <w:sz w:val="72"/>
      <w:szCs w:val="96"/>
    </w:rPr>
  </w:style>
  <w:style w:type="character" w:customStyle="1" w:styleId="TitleChar">
    <w:name w:val="Title Char"/>
    <w:basedOn w:val="DefaultParagraphFont"/>
    <w:link w:val="Title"/>
    <w:rsid w:val="00E56896"/>
    <w:rPr>
      <w:b/>
      <w:color w:val="92B523" w:themeColor="accent1"/>
      <w:sz w:val="72"/>
      <w:szCs w:val="96"/>
    </w:rPr>
  </w:style>
  <w:style w:type="paragraph" w:customStyle="1" w:styleId="Titlesubheading">
    <w:name w:val="Title subheading"/>
    <w:basedOn w:val="Normal"/>
    <w:link w:val="TitlesubheadingChar"/>
    <w:qFormat/>
    <w:locked/>
    <w:rsid w:val="005047F3"/>
    <w:pPr>
      <w:jc w:val="right"/>
    </w:pPr>
    <w:rPr>
      <w:sz w:val="52"/>
      <w:szCs w:val="96"/>
    </w:rPr>
  </w:style>
  <w:style w:type="paragraph" w:customStyle="1" w:styleId="Bullets">
    <w:name w:val="Bullets"/>
    <w:basedOn w:val="ListParagraph"/>
    <w:link w:val="BulletsChar"/>
    <w:qFormat/>
    <w:locked/>
    <w:rsid w:val="00906829"/>
    <w:pPr>
      <w:numPr>
        <w:numId w:val="1"/>
      </w:numPr>
    </w:pPr>
  </w:style>
  <w:style w:type="character" w:customStyle="1" w:styleId="TitlesubheadingChar">
    <w:name w:val="Title subheading Char"/>
    <w:basedOn w:val="DefaultParagraphFont"/>
    <w:link w:val="Titlesubheading"/>
    <w:rsid w:val="005047F3"/>
    <w:rPr>
      <w:sz w:val="52"/>
      <w:szCs w:val="96"/>
    </w:rPr>
  </w:style>
  <w:style w:type="table" w:styleId="ListTable4-Accent6">
    <w:name w:val="List Table 4 Accent 6"/>
    <w:basedOn w:val="TableNormal"/>
    <w:uiPriority w:val="49"/>
    <w:locked/>
    <w:rsid w:val="006946F3"/>
    <w:pPr>
      <w:spacing w:after="0" w:line="240" w:lineRule="auto"/>
    </w:pPr>
    <w:tblPr>
      <w:tblStyleRowBandSize w:val="1"/>
      <w:tblStyleColBandSize w:val="1"/>
      <w:tblBorders>
        <w:top w:val="single" w:sz="4" w:space="0" w:color="92CDDC" w:themeColor="accent6" w:themeTint="99"/>
        <w:left w:val="single" w:sz="4" w:space="0" w:color="92CDDC" w:themeColor="accent6" w:themeTint="99"/>
        <w:bottom w:val="single" w:sz="4" w:space="0" w:color="92CDDC" w:themeColor="accent6" w:themeTint="99"/>
        <w:right w:val="single" w:sz="4" w:space="0" w:color="92CDDC" w:themeColor="accent6" w:themeTint="99"/>
        <w:insideH w:val="single" w:sz="4" w:space="0" w:color="92CDDC" w:themeColor="accent6" w:themeTint="99"/>
      </w:tblBorders>
    </w:tblPr>
    <w:tblStylePr w:type="firstRow">
      <w:rPr>
        <w:b/>
        <w:bCs/>
        <w:color w:val="FFFFFF" w:themeColor="background1"/>
      </w:rPr>
      <w:tblPr/>
      <w:tcPr>
        <w:tcBorders>
          <w:top w:val="single" w:sz="4" w:space="0" w:color="4BACC6" w:themeColor="accent6"/>
          <w:left w:val="single" w:sz="4" w:space="0" w:color="4BACC6" w:themeColor="accent6"/>
          <w:bottom w:val="single" w:sz="4" w:space="0" w:color="4BACC6" w:themeColor="accent6"/>
          <w:right w:val="single" w:sz="4" w:space="0" w:color="4BACC6" w:themeColor="accent6"/>
          <w:insideH w:val="nil"/>
        </w:tcBorders>
        <w:shd w:val="clear" w:color="auto" w:fill="4BACC6" w:themeFill="accent6"/>
      </w:tcPr>
    </w:tblStylePr>
    <w:tblStylePr w:type="lastRow">
      <w:rPr>
        <w:b/>
        <w:bCs/>
      </w:rPr>
      <w:tblPr/>
      <w:tcPr>
        <w:tcBorders>
          <w:top w:val="double" w:sz="4" w:space="0" w:color="92CDDC" w:themeColor="accent6" w:themeTint="99"/>
        </w:tcBorders>
      </w:tcPr>
    </w:tblStylePr>
    <w:tblStylePr w:type="firstCol">
      <w:rPr>
        <w:b/>
        <w:bCs/>
      </w:rPr>
    </w:tblStylePr>
    <w:tblStylePr w:type="lastCol">
      <w:rPr>
        <w:b/>
        <w:bCs/>
      </w:rPr>
    </w:tblStylePr>
    <w:tblStylePr w:type="band1Vert">
      <w:tblPr/>
      <w:tcPr>
        <w:shd w:val="clear" w:color="auto" w:fill="DAEEF3" w:themeFill="accent6" w:themeFillTint="33"/>
      </w:tcPr>
    </w:tblStylePr>
    <w:tblStylePr w:type="band1Horz">
      <w:tblPr/>
      <w:tcPr>
        <w:shd w:val="clear" w:color="auto" w:fill="DAEEF3" w:themeFill="accent6" w:themeFillTint="33"/>
      </w:tcPr>
    </w:tblStylePr>
  </w:style>
  <w:style w:type="character" w:customStyle="1" w:styleId="BulletsChar">
    <w:name w:val="Bullets Char"/>
    <w:basedOn w:val="ListParagraphChar"/>
    <w:link w:val="Bullets"/>
    <w:rsid w:val="00906829"/>
  </w:style>
  <w:style w:type="table" w:styleId="GridTable4-Accent6">
    <w:name w:val="Grid Table 4 Accent 6"/>
    <w:basedOn w:val="TableNormal"/>
    <w:uiPriority w:val="49"/>
    <w:locked/>
    <w:rsid w:val="0021090D"/>
    <w:pPr>
      <w:spacing w:after="0" w:line="240" w:lineRule="auto"/>
    </w:pPr>
    <w:tblPr>
      <w:tblStyleRowBandSize w:val="1"/>
      <w:tblStyleColBandSize w:val="1"/>
      <w:tblBorders>
        <w:top w:val="single" w:sz="4" w:space="0" w:color="92B523"/>
        <w:left w:val="single" w:sz="4" w:space="0" w:color="92B523"/>
        <w:bottom w:val="single" w:sz="4" w:space="0" w:color="92B523"/>
        <w:right w:val="single" w:sz="4" w:space="0" w:color="92B523"/>
        <w:insideH w:val="single" w:sz="4" w:space="0" w:color="92B523"/>
        <w:insideV w:val="single" w:sz="4" w:space="0" w:color="92B523"/>
      </w:tblBorders>
      <w:tblCellMar>
        <w:top w:w="108" w:type="dxa"/>
        <w:bottom w:w="108" w:type="dxa"/>
      </w:tblCellMar>
    </w:tblPr>
    <w:tblStylePr w:type="firstRow">
      <w:rPr>
        <w:b/>
        <w:bCs/>
        <w:color w:val="FFFFFF" w:themeColor="background1"/>
      </w:rPr>
      <w:tblPr/>
      <w:tcPr>
        <w:shd w:val="clear" w:color="auto" w:fill="92B523"/>
      </w:tcPr>
    </w:tblStylePr>
    <w:tblStylePr w:type="lastRow">
      <w:rPr>
        <w:b/>
        <w:bCs/>
      </w:rPr>
      <w:tblPr/>
      <w:tcPr>
        <w:tcBorders>
          <w:top w:val="double" w:sz="4" w:space="0" w:color="4BACC6" w:themeColor="accent6"/>
        </w:tcBorders>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style>
  <w:style w:type="paragraph" w:customStyle="1" w:styleId="Subheading">
    <w:name w:val="Subheading"/>
    <w:basedOn w:val="Bullets"/>
    <w:link w:val="SubheadingChar"/>
    <w:qFormat/>
    <w:locked/>
    <w:rsid w:val="008D2958"/>
    <w:pPr>
      <w:numPr>
        <w:numId w:val="0"/>
      </w:numPr>
      <w:spacing w:before="160" w:after="0"/>
      <w:contextualSpacing w:val="0"/>
    </w:pPr>
    <w:rPr>
      <w:b/>
      <w:color w:val="000000" w:themeColor="text1"/>
      <w:szCs w:val="20"/>
    </w:rPr>
  </w:style>
  <w:style w:type="character" w:customStyle="1" w:styleId="SubheadingChar">
    <w:name w:val="Subheading Char"/>
    <w:basedOn w:val="BulletsChar"/>
    <w:link w:val="Subheading"/>
    <w:rsid w:val="008D2958"/>
    <w:rPr>
      <w:b/>
      <w:color w:val="000000" w:themeColor="text1"/>
      <w:szCs w:val="20"/>
    </w:rPr>
  </w:style>
  <w:style w:type="table" w:styleId="GridTable4-Accent4">
    <w:name w:val="Grid Table 4 Accent 4"/>
    <w:basedOn w:val="TableNormal"/>
    <w:uiPriority w:val="49"/>
    <w:locked/>
    <w:rsid w:val="009F65B4"/>
    <w:pPr>
      <w:spacing w:after="0" w:line="240" w:lineRule="auto"/>
    </w:pPr>
    <w:tblPr>
      <w:tblStyleRowBandSize w:val="1"/>
      <w:tblStyleColBandSize w:val="1"/>
      <w:tblBorders>
        <w:top w:val="single" w:sz="4" w:space="0" w:color="FFB287" w:themeColor="accent4" w:themeTint="99"/>
        <w:left w:val="single" w:sz="4" w:space="0" w:color="FFB287" w:themeColor="accent4" w:themeTint="99"/>
        <w:bottom w:val="single" w:sz="4" w:space="0" w:color="FFB287" w:themeColor="accent4" w:themeTint="99"/>
        <w:right w:val="single" w:sz="4" w:space="0" w:color="FFB287" w:themeColor="accent4" w:themeTint="99"/>
        <w:insideH w:val="single" w:sz="4" w:space="0" w:color="FFB287" w:themeColor="accent4" w:themeTint="99"/>
        <w:insideV w:val="single" w:sz="4" w:space="0" w:color="FFB287" w:themeColor="accent4" w:themeTint="99"/>
      </w:tblBorders>
    </w:tblPr>
    <w:tblStylePr w:type="firstRow">
      <w:rPr>
        <w:b/>
        <w:bCs/>
        <w:color w:val="FFFFFF" w:themeColor="background1"/>
      </w:rPr>
      <w:tblPr/>
      <w:tcPr>
        <w:tcBorders>
          <w:top w:val="single" w:sz="4" w:space="0" w:color="FF8038" w:themeColor="accent4"/>
          <w:left w:val="single" w:sz="4" w:space="0" w:color="FF8038" w:themeColor="accent4"/>
          <w:bottom w:val="single" w:sz="4" w:space="0" w:color="FF8038" w:themeColor="accent4"/>
          <w:right w:val="single" w:sz="4" w:space="0" w:color="FF8038" w:themeColor="accent4"/>
          <w:insideH w:val="nil"/>
          <w:insideV w:val="nil"/>
        </w:tcBorders>
        <w:shd w:val="clear" w:color="auto" w:fill="FF8038" w:themeFill="accent4"/>
      </w:tcPr>
    </w:tblStylePr>
    <w:tblStylePr w:type="lastRow">
      <w:rPr>
        <w:b/>
        <w:bCs/>
      </w:rPr>
      <w:tblPr/>
      <w:tcPr>
        <w:tcBorders>
          <w:top w:val="double" w:sz="4" w:space="0" w:color="FF8038" w:themeColor="accent4"/>
        </w:tcBorders>
      </w:tcPr>
    </w:tblStylePr>
    <w:tblStylePr w:type="firstCol">
      <w:rPr>
        <w:b/>
        <w:bCs/>
      </w:rPr>
    </w:tblStylePr>
    <w:tblStylePr w:type="lastCol">
      <w:rPr>
        <w:b/>
        <w:bCs/>
      </w:rPr>
    </w:tblStylePr>
    <w:tblStylePr w:type="band1Vert">
      <w:tblPr/>
      <w:tcPr>
        <w:shd w:val="clear" w:color="auto" w:fill="FFE5D7" w:themeFill="accent4" w:themeFillTint="33"/>
      </w:tcPr>
    </w:tblStylePr>
    <w:tblStylePr w:type="band1Horz">
      <w:tblPr/>
      <w:tcPr>
        <w:shd w:val="clear" w:color="auto" w:fill="FFE5D7" w:themeFill="accent4" w:themeFillTint="33"/>
      </w:tcPr>
    </w:tblStylePr>
  </w:style>
  <w:style w:type="table" w:styleId="PlainTable3">
    <w:name w:val="Plain Table 3"/>
    <w:basedOn w:val="TableNormal"/>
    <w:uiPriority w:val="43"/>
    <w:locked/>
    <w:rsid w:val="00B314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lumnheading-White">
    <w:name w:val="Column heading - White"/>
    <w:link w:val="Columnheading-WhiteChar"/>
    <w:qFormat/>
    <w:locked/>
    <w:rsid w:val="005047F3"/>
    <w:pPr>
      <w:spacing w:after="0" w:line="240" w:lineRule="auto"/>
    </w:pPr>
    <w:rPr>
      <w:b/>
      <w:bCs/>
      <w:color w:val="FFFFFF" w:themeColor="background1"/>
    </w:rPr>
  </w:style>
  <w:style w:type="table" w:customStyle="1" w:styleId="TAStableBLUE">
    <w:name w:val="TAS table BLUE"/>
    <w:basedOn w:val="TableNormal"/>
    <w:uiPriority w:val="99"/>
    <w:locked/>
    <w:rsid w:val="00D374DF"/>
    <w:pPr>
      <w:spacing w:after="0" w:line="240" w:lineRule="auto"/>
    </w:pPr>
    <w:tblPr>
      <w:tblStyleRowBandSize w:val="1"/>
      <w:tblStyleColBandSize w:val="1"/>
      <w:tbl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insideH w:val="single" w:sz="4" w:space="0" w:color="A1A1A1" w:themeColor="background2" w:themeShade="BF"/>
        <w:insideV w:val="single" w:sz="4" w:space="0" w:color="A1A1A1" w:themeColor="background2" w:themeShade="BF"/>
      </w:tblBorders>
      <w:tblCellMar>
        <w:top w:w="57" w:type="dxa"/>
        <w:bottom w:w="57" w:type="dxa"/>
      </w:tblCellMar>
    </w:tblPr>
    <w:tblStylePr w:type="firstRow">
      <w:rPr>
        <w:b/>
        <w:bCs/>
        <w:color w:val="FFFFFF" w:themeColor="background1"/>
      </w:rPr>
      <w:tblPr/>
      <w:tcPr>
        <w:shd w:val="clear" w:color="auto" w:fill="0083C3" w:themeFill="accent2"/>
      </w:tcPr>
    </w:tblStylePr>
    <w:tblStylePr w:type="lastRow">
      <w:rPr>
        <w:b/>
        <w:bCs/>
      </w:rPr>
      <w:tblPr/>
      <w:tcPr>
        <w:tcBorders>
          <w:top w:val="double" w:sz="4" w:space="0" w:color="4BACC6" w:themeColor="accent6"/>
        </w:tcBorders>
      </w:tcPr>
    </w:tblStylePr>
    <w:tblStylePr w:type="firstCol">
      <w:rPr>
        <w:b/>
        <w:bCs/>
      </w:rPr>
    </w:tblStylePr>
    <w:tblStylePr w:type="lastCol">
      <w:rPr>
        <w:b/>
        <w:bCs/>
      </w:rPr>
    </w:tblStylePr>
    <w:tblStylePr w:type="band1Vert">
      <w:tblPr/>
      <w:tcPr>
        <w:shd w:val="clear" w:color="auto" w:fill="81D5FF" w:themeFill="accent2" w:themeFillTint="66"/>
      </w:tcPr>
    </w:tblStylePr>
    <w:tblStylePr w:type="band1Horz">
      <w:tblPr/>
      <w:tcPr>
        <w:shd w:val="clear" w:color="auto" w:fill="C0EAFF" w:themeFill="accent2" w:themeFillTint="33"/>
      </w:tcPr>
    </w:tblStylePr>
  </w:style>
  <w:style w:type="character" w:customStyle="1" w:styleId="Columnheading-WhiteChar">
    <w:name w:val="Column heading - White Char"/>
    <w:basedOn w:val="BulletsChar"/>
    <w:link w:val="Columnheading-White"/>
    <w:rsid w:val="005047F3"/>
    <w:rPr>
      <w:b/>
      <w:bCs/>
      <w:color w:val="FFFFFF" w:themeColor="background1"/>
    </w:rPr>
  </w:style>
  <w:style w:type="table" w:customStyle="1" w:styleId="TASGreen">
    <w:name w:val="TAS Green"/>
    <w:basedOn w:val="TAStableBLUE"/>
    <w:uiPriority w:val="99"/>
    <w:locked/>
    <w:rsid w:val="000C644F"/>
    <w:tblPr/>
    <w:tblStylePr w:type="firstRow">
      <w:pPr>
        <w:wordWrap/>
        <w:spacing w:beforeLines="0" w:before="0" w:beforeAutospacing="0" w:afterLines="0" w:after="0" w:afterAutospacing="0"/>
      </w:pPr>
      <w:rPr>
        <w:b/>
        <w:bCs/>
        <w:color w:val="FFFFFF" w:themeColor="background1"/>
      </w:rPr>
      <w:tblPr/>
      <w:tcPr>
        <w:shd w:val="clear" w:color="auto" w:fill="92B523" w:themeFill="accent1"/>
      </w:tcPr>
    </w:tblStylePr>
    <w:tblStylePr w:type="lastRow">
      <w:rPr>
        <w:b/>
        <w:bCs/>
      </w:rPr>
      <w:tblPr/>
      <w:tcPr>
        <w:tcBorders>
          <w:top w:val="double" w:sz="4" w:space="0" w:color="4BACC6" w:themeColor="accent6"/>
        </w:tcBorders>
      </w:tcPr>
    </w:tblStylePr>
    <w:tblStylePr w:type="firstCol">
      <w:rPr>
        <w:b/>
        <w:bCs/>
      </w:rPr>
    </w:tblStylePr>
    <w:tblStylePr w:type="lastCol">
      <w:rPr>
        <w:b/>
        <w:bCs/>
      </w:rPr>
    </w:tblStylePr>
    <w:tblStylePr w:type="band1Vert">
      <w:tblPr/>
      <w:tcPr>
        <w:shd w:val="clear" w:color="auto" w:fill="EBF5CD" w:themeFill="accent1" w:themeFillTint="33"/>
      </w:tcPr>
    </w:tblStylePr>
    <w:tblStylePr w:type="band1Horz">
      <w:tblPr/>
      <w:tcPr>
        <w:shd w:val="clear" w:color="auto" w:fill="EBF5CD" w:themeFill="accent1" w:themeFillTint="33"/>
      </w:tcPr>
    </w:tblStylePr>
  </w:style>
  <w:style w:type="paragraph" w:customStyle="1" w:styleId="Columnheading-Black">
    <w:name w:val="Column heading - Black"/>
    <w:basedOn w:val="Columnheading-White"/>
    <w:link w:val="Columnheading-BlackChar"/>
    <w:qFormat/>
    <w:locked/>
    <w:rsid w:val="005047F3"/>
    <w:rPr>
      <w:bCs w:val="0"/>
    </w:rPr>
  </w:style>
  <w:style w:type="character" w:customStyle="1" w:styleId="Columnheading-BlackChar">
    <w:name w:val="Column heading - Black Char"/>
    <w:basedOn w:val="Columnheading-WhiteChar"/>
    <w:link w:val="Columnheading-Black"/>
    <w:rsid w:val="005047F3"/>
    <w:rPr>
      <w:b/>
      <w:bCs w:val="0"/>
      <w:color w:val="FFFFFF" w:themeColor="background1"/>
    </w:rPr>
  </w:style>
  <w:style w:type="table" w:customStyle="1" w:styleId="TASGrey">
    <w:name w:val="TAS Grey"/>
    <w:basedOn w:val="TASGreen"/>
    <w:uiPriority w:val="99"/>
    <w:locked/>
    <w:rsid w:val="00D374DF"/>
    <w:tblPr/>
    <w:tblStylePr w:type="firstRow">
      <w:pPr>
        <w:wordWrap/>
        <w:spacing w:beforeLines="0" w:before="0" w:beforeAutospacing="0" w:afterLines="0" w:after="0" w:afterAutospacing="0"/>
      </w:pPr>
      <w:rPr>
        <w:rFonts w:ascii="Calibri" w:hAnsi="Calibri"/>
        <w:b/>
        <w:bCs/>
        <w:color w:val="auto"/>
        <w:sz w:val="22"/>
      </w:rPr>
      <w:tblPr/>
      <w:tcPr>
        <w:shd w:val="clear" w:color="auto" w:fill="808080" w:themeFill="background1" w:themeFillShade="80"/>
      </w:tcPr>
    </w:tblStylePr>
    <w:tblStylePr w:type="lastRow">
      <w:rPr>
        <w:b/>
        <w:bCs/>
      </w:rPr>
      <w:tblPr/>
      <w:tcPr>
        <w:tcBorders>
          <w:top w:val="double" w:sz="4" w:space="0" w:color="4BACC6" w:themeColor="accent6"/>
        </w:tcBorders>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style>
  <w:style w:type="paragraph" w:styleId="Revision">
    <w:name w:val="Revision"/>
    <w:hidden/>
    <w:uiPriority w:val="99"/>
    <w:semiHidden/>
    <w:rsid w:val="00E37822"/>
    <w:pPr>
      <w:spacing w:after="0" w:line="240" w:lineRule="auto"/>
    </w:pPr>
  </w:style>
  <w:style w:type="paragraph" w:customStyle="1" w:styleId="FooterTAS">
    <w:name w:val="Footer TAS"/>
    <w:basedOn w:val="Footer"/>
    <w:link w:val="FooterTASChar"/>
    <w:autoRedefine/>
    <w:uiPriority w:val="1"/>
    <w:locked/>
    <w:rsid w:val="00D62CD7"/>
    <w:pPr>
      <w:pBdr>
        <w:top w:val="single" w:sz="2" w:space="4" w:color="auto"/>
      </w:pBdr>
      <w:tabs>
        <w:tab w:val="clear" w:pos="4513"/>
        <w:tab w:val="clear" w:pos="9026"/>
        <w:tab w:val="right" w:pos="9638"/>
      </w:tabs>
    </w:pPr>
    <w:rPr>
      <w:color w:val="000000" w:themeColor="text1"/>
      <w:sz w:val="18"/>
    </w:rPr>
  </w:style>
  <w:style w:type="character" w:customStyle="1" w:styleId="FooterTASChar">
    <w:name w:val="Footer TAS Char"/>
    <w:basedOn w:val="FooterChar"/>
    <w:link w:val="FooterTAS"/>
    <w:uiPriority w:val="1"/>
    <w:rsid w:val="006551EA"/>
    <w:rPr>
      <w:color w:val="000000" w:themeColor="text1"/>
      <w:sz w:val="18"/>
    </w:rPr>
  </w:style>
  <w:style w:type="character" w:styleId="Hyperlink">
    <w:name w:val="Hyperlink"/>
    <w:basedOn w:val="DefaultParagraphFont"/>
    <w:uiPriority w:val="99"/>
    <w:unhideWhenUsed/>
    <w:rsid w:val="002C4045"/>
    <w:rPr>
      <w:color w:val="0081C3" w:themeColor="hyperlink"/>
      <w:u w:val="single"/>
    </w:rPr>
  </w:style>
  <w:style w:type="character" w:styleId="CommentReference">
    <w:name w:val="annotation reference"/>
    <w:basedOn w:val="DefaultParagraphFont"/>
    <w:uiPriority w:val="99"/>
    <w:semiHidden/>
    <w:unhideWhenUsed/>
    <w:rsid w:val="0062398E"/>
    <w:rPr>
      <w:sz w:val="16"/>
      <w:szCs w:val="16"/>
    </w:rPr>
  </w:style>
  <w:style w:type="paragraph" w:styleId="CommentSubject">
    <w:name w:val="annotation subject"/>
    <w:basedOn w:val="CommentText"/>
    <w:next w:val="CommentText"/>
    <w:link w:val="CommentSubjectChar"/>
    <w:uiPriority w:val="99"/>
    <w:semiHidden/>
    <w:unhideWhenUsed/>
    <w:rsid w:val="0062398E"/>
    <w:pPr>
      <w:spacing w:after="160"/>
    </w:pPr>
    <w:rPr>
      <w:b/>
      <w:bCs/>
    </w:rPr>
  </w:style>
  <w:style w:type="character" w:customStyle="1" w:styleId="CommentSubjectChar">
    <w:name w:val="Comment Subject Char"/>
    <w:basedOn w:val="CommentTextChar"/>
    <w:link w:val="CommentSubject"/>
    <w:uiPriority w:val="99"/>
    <w:semiHidden/>
    <w:rsid w:val="0062398E"/>
    <w:rPr>
      <w:b/>
      <w:bCs/>
      <w:sz w:val="20"/>
      <w:szCs w:val="20"/>
    </w:rPr>
  </w:style>
  <w:style w:type="character" w:customStyle="1" w:styleId="Heading4Char">
    <w:name w:val="Heading 4 Char"/>
    <w:basedOn w:val="DefaultParagraphFont"/>
    <w:link w:val="Heading4"/>
    <w:uiPriority w:val="9"/>
    <w:semiHidden/>
    <w:rsid w:val="00D5425F"/>
    <w:rPr>
      <w:rFonts w:asciiTheme="majorHAnsi" w:eastAsiaTheme="majorEastAsia" w:hAnsiTheme="majorHAnsi" w:cstheme="majorBidi"/>
      <w:i/>
      <w:iCs/>
      <w:color w:val="6C871A" w:themeColor="accent1" w:themeShade="BF"/>
    </w:rPr>
  </w:style>
  <w:style w:type="paragraph" w:styleId="ListBullet">
    <w:name w:val="List Bullet"/>
    <w:basedOn w:val="ListParagraph"/>
    <w:uiPriority w:val="4"/>
    <w:rsid w:val="00D5425F"/>
    <w:pPr>
      <w:numPr>
        <w:numId w:val="10"/>
      </w:numPr>
      <w:spacing w:after="0" w:line="285" w:lineRule="exact"/>
      <w:contextualSpacing w:val="0"/>
    </w:pPr>
    <w:rPr>
      <w:rFonts w:asciiTheme="minorHAnsi" w:hAnsiTheme="minorHAnsi"/>
      <w:color w:val="000000" w:themeColor="text1"/>
      <w:sz w:val="19"/>
    </w:rPr>
  </w:style>
  <w:style w:type="paragraph" w:styleId="ListBullet2">
    <w:name w:val="List Bullet 2"/>
    <w:basedOn w:val="ListParagraph"/>
    <w:uiPriority w:val="5"/>
    <w:rsid w:val="00D5425F"/>
    <w:pPr>
      <w:numPr>
        <w:ilvl w:val="1"/>
        <w:numId w:val="10"/>
      </w:numPr>
      <w:spacing w:after="0" w:line="280" w:lineRule="exact"/>
    </w:pPr>
    <w:rPr>
      <w:rFonts w:asciiTheme="minorHAnsi" w:hAnsiTheme="minorHAnsi"/>
      <w:color w:val="000000" w:themeColor="text1"/>
      <w:sz w:val="19"/>
    </w:rPr>
  </w:style>
  <w:style w:type="paragraph" w:styleId="ListBullet3">
    <w:name w:val="List Bullet 3"/>
    <w:basedOn w:val="ListParagraph"/>
    <w:uiPriority w:val="5"/>
    <w:rsid w:val="00D5425F"/>
    <w:pPr>
      <w:numPr>
        <w:ilvl w:val="2"/>
        <w:numId w:val="10"/>
      </w:numPr>
      <w:spacing w:after="0" w:line="280" w:lineRule="exact"/>
    </w:pPr>
    <w:rPr>
      <w:rFonts w:asciiTheme="minorHAnsi" w:hAnsiTheme="minorHAnsi"/>
      <w:color w:val="000000" w:themeColor="text1"/>
      <w:sz w:val="19"/>
    </w:rPr>
  </w:style>
  <w:style w:type="paragraph" w:customStyle="1" w:styleId="ListBullet2End">
    <w:name w:val="List Bullet 2 End"/>
    <w:basedOn w:val="ListBullet2"/>
    <w:next w:val="Normal"/>
    <w:uiPriority w:val="5"/>
    <w:qFormat/>
    <w:rsid w:val="00D5425F"/>
    <w:pPr>
      <w:numPr>
        <w:numId w:val="11"/>
      </w:numPr>
      <w:spacing w:after="240"/>
    </w:pPr>
  </w:style>
  <w:style w:type="paragraph" w:customStyle="1" w:styleId="ListBullet3End">
    <w:name w:val="List Bullet 3 End"/>
    <w:basedOn w:val="ListBullet3"/>
    <w:next w:val="Normal"/>
    <w:uiPriority w:val="5"/>
    <w:qFormat/>
    <w:rsid w:val="00D5425F"/>
    <w:pPr>
      <w:numPr>
        <w:numId w:val="11"/>
      </w:numPr>
      <w:spacing w:after="240"/>
      <w:ind w:left="1135" w:hanging="284"/>
    </w:pPr>
  </w:style>
  <w:style w:type="paragraph" w:customStyle="1" w:styleId="ListBulletEnd">
    <w:name w:val="List Bullet End"/>
    <w:basedOn w:val="ListBullet"/>
    <w:next w:val="Normal"/>
    <w:uiPriority w:val="4"/>
    <w:qFormat/>
    <w:rsid w:val="00D5425F"/>
    <w:pPr>
      <w:spacing w:after="120"/>
    </w:pPr>
    <w:rPr>
      <w:lang w:val="en-US"/>
    </w:rPr>
  </w:style>
  <w:style w:type="character" w:styleId="Strong">
    <w:name w:val="Strong"/>
    <w:basedOn w:val="DefaultParagraphFont"/>
    <w:uiPriority w:val="22"/>
    <w:semiHidden/>
    <w:unhideWhenUsed/>
    <w:qFormat/>
    <w:rsid w:val="00502D4F"/>
    <w:rPr>
      <w:b/>
      <w:bCs/>
    </w:rPr>
  </w:style>
  <w:style w:type="table" w:customStyle="1" w:styleId="TASGreen1">
    <w:name w:val="TAS Green1"/>
    <w:basedOn w:val="TableNormal"/>
    <w:uiPriority w:val="99"/>
    <w:locked/>
    <w:rsid w:val="00ED64EE"/>
    <w:pPr>
      <w:spacing w:after="0" w:line="240" w:lineRule="auto"/>
    </w:pPr>
    <w:tblPr>
      <w:tblStyleRowBandSize w:val="1"/>
      <w:tblStyleColBandSize w:val="1"/>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CellMar>
        <w:top w:w="57" w:type="dxa"/>
        <w:bottom w:w="57" w:type="dxa"/>
      </w:tblCellMar>
    </w:tblPr>
    <w:tblStylePr w:type="firstRow">
      <w:pPr>
        <w:wordWrap/>
        <w:spacing w:beforeLines="0" w:before="0" w:beforeAutospacing="0" w:afterLines="0" w:after="0" w:afterAutospacing="0"/>
      </w:pPr>
      <w:rPr>
        <w:b/>
        <w:bCs/>
        <w:color w:val="FFFFFF"/>
      </w:rPr>
      <w:tblPr/>
      <w:tcPr>
        <w:shd w:val="clear" w:color="auto" w:fill="FF0000"/>
      </w:tcPr>
    </w:tblStylePr>
    <w:tblStylePr w:type="lastRow">
      <w:rPr>
        <w:b/>
        <w:bCs/>
      </w:rPr>
      <w:tblPr/>
      <w:tcPr>
        <w:tcBorders>
          <w:top w:val="double" w:sz="4" w:space="0" w:color="FFFFFF"/>
        </w:tcBorders>
      </w:tcPr>
    </w:tblStylePr>
    <w:tblStylePr w:type="firstCol">
      <w:rPr>
        <w:b/>
        <w:bCs/>
      </w:rPr>
    </w:tblStylePr>
    <w:tblStylePr w:type="lastCol">
      <w:rPr>
        <w:b/>
        <w:bCs/>
      </w:rPr>
    </w:tblStylePr>
    <w:tblStylePr w:type="band1Vert">
      <w:tblPr/>
      <w:tcPr>
        <w:shd w:val="clear" w:color="auto" w:fill="FFCCCC"/>
      </w:tcPr>
    </w:tblStylePr>
    <w:tblStylePr w:type="band1Horz">
      <w:tblPr/>
      <w:tcPr>
        <w:shd w:val="clear" w:color="auto" w:fill="FF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2349">
      <w:bodyDiv w:val="1"/>
      <w:marLeft w:val="0"/>
      <w:marRight w:val="0"/>
      <w:marTop w:val="0"/>
      <w:marBottom w:val="0"/>
      <w:divBdr>
        <w:top w:val="none" w:sz="0" w:space="0" w:color="auto"/>
        <w:left w:val="none" w:sz="0" w:space="0" w:color="auto"/>
        <w:bottom w:val="none" w:sz="0" w:space="0" w:color="auto"/>
        <w:right w:val="none" w:sz="0" w:space="0" w:color="auto"/>
      </w:divBdr>
    </w:div>
    <w:div w:id="136994596">
      <w:bodyDiv w:val="1"/>
      <w:marLeft w:val="0"/>
      <w:marRight w:val="0"/>
      <w:marTop w:val="0"/>
      <w:marBottom w:val="0"/>
      <w:divBdr>
        <w:top w:val="none" w:sz="0" w:space="0" w:color="auto"/>
        <w:left w:val="none" w:sz="0" w:space="0" w:color="auto"/>
        <w:bottom w:val="none" w:sz="0" w:space="0" w:color="auto"/>
        <w:right w:val="none" w:sz="0" w:space="0" w:color="auto"/>
      </w:divBdr>
    </w:div>
    <w:div w:id="217865435">
      <w:bodyDiv w:val="1"/>
      <w:marLeft w:val="0"/>
      <w:marRight w:val="0"/>
      <w:marTop w:val="0"/>
      <w:marBottom w:val="0"/>
      <w:divBdr>
        <w:top w:val="none" w:sz="0" w:space="0" w:color="auto"/>
        <w:left w:val="none" w:sz="0" w:space="0" w:color="auto"/>
        <w:bottom w:val="none" w:sz="0" w:space="0" w:color="auto"/>
        <w:right w:val="none" w:sz="0" w:space="0" w:color="auto"/>
      </w:divBdr>
    </w:div>
    <w:div w:id="270599367">
      <w:bodyDiv w:val="1"/>
      <w:marLeft w:val="0"/>
      <w:marRight w:val="0"/>
      <w:marTop w:val="0"/>
      <w:marBottom w:val="0"/>
      <w:divBdr>
        <w:top w:val="none" w:sz="0" w:space="0" w:color="auto"/>
        <w:left w:val="none" w:sz="0" w:space="0" w:color="auto"/>
        <w:bottom w:val="none" w:sz="0" w:space="0" w:color="auto"/>
        <w:right w:val="none" w:sz="0" w:space="0" w:color="auto"/>
      </w:divBdr>
    </w:div>
    <w:div w:id="364259470">
      <w:bodyDiv w:val="1"/>
      <w:marLeft w:val="0"/>
      <w:marRight w:val="0"/>
      <w:marTop w:val="0"/>
      <w:marBottom w:val="0"/>
      <w:divBdr>
        <w:top w:val="none" w:sz="0" w:space="0" w:color="auto"/>
        <w:left w:val="none" w:sz="0" w:space="0" w:color="auto"/>
        <w:bottom w:val="none" w:sz="0" w:space="0" w:color="auto"/>
        <w:right w:val="none" w:sz="0" w:space="0" w:color="auto"/>
      </w:divBdr>
    </w:div>
    <w:div w:id="433675459">
      <w:bodyDiv w:val="1"/>
      <w:marLeft w:val="0"/>
      <w:marRight w:val="0"/>
      <w:marTop w:val="0"/>
      <w:marBottom w:val="0"/>
      <w:divBdr>
        <w:top w:val="none" w:sz="0" w:space="0" w:color="auto"/>
        <w:left w:val="none" w:sz="0" w:space="0" w:color="auto"/>
        <w:bottom w:val="none" w:sz="0" w:space="0" w:color="auto"/>
        <w:right w:val="none" w:sz="0" w:space="0" w:color="auto"/>
      </w:divBdr>
    </w:div>
    <w:div w:id="581524928">
      <w:bodyDiv w:val="1"/>
      <w:marLeft w:val="0"/>
      <w:marRight w:val="0"/>
      <w:marTop w:val="0"/>
      <w:marBottom w:val="0"/>
      <w:divBdr>
        <w:top w:val="none" w:sz="0" w:space="0" w:color="auto"/>
        <w:left w:val="none" w:sz="0" w:space="0" w:color="auto"/>
        <w:bottom w:val="none" w:sz="0" w:space="0" w:color="auto"/>
        <w:right w:val="none" w:sz="0" w:space="0" w:color="auto"/>
      </w:divBdr>
    </w:div>
    <w:div w:id="619846724">
      <w:bodyDiv w:val="1"/>
      <w:marLeft w:val="0"/>
      <w:marRight w:val="0"/>
      <w:marTop w:val="0"/>
      <w:marBottom w:val="0"/>
      <w:divBdr>
        <w:top w:val="none" w:sz="0" w:space="0" w:color="auto"/>
        <w:left w:val="none" w:sz="0" w:space="0" w:color="auto"/>
        <w:bottom w:val="none" w:sz="0" w:space="0" w:color="auto"/>
        <w:right w:val="none" w:sz="0" w:space="0" w:color="auto"/>
      </w:divBdr>
    </w:div>
    <w:div w:id="677972686">
      <w:bodyDiv w:val="1"/>
      <w:marLeft w:val="0"/>
      <w:marRight w:val="0"/>
      <w:marTop w:val="0"/>
      <w:marBottom w:val="0"/>
      <w:divBdr>
        <w:top w:val="none" w:sz="0" w:space="0" w:color="auto"/>
        <w:left w:val="none" w:sz="0" w:space="0" w:color="auto"/>
        <w:bottom w:val="none" w:sz="0" w:space="0" w:color="auto"/>
        <w:right w:val="none" w:sz="0" w:space="0" w:color="auto"/>
      </w:divBdr>
    </w:div>
    <w:div w:id="845438043">
      <w:bodyDiv w:val="1"/>
      <w:marLeft w:val="0"/>
      <w:marRight w:val="0"/>
      <w:marTop w:val="0"/>
      <w:marBottom w:val="0"/>
      <w:divBdr>
        <w:top w:val="none" w:sz="0" w:space="0" w:color="auto"/>
        <w:left w:val="none" w:sz="0" w:space="0" w:color="auto"/>
        <w:bottom w:val="none" w:sz="0" w:space="0" w:color="auto"/>
        <w:right w:val="none" w:sz="0" w:space="0" w:color="auto"/>
      </w:divBdr>
    </w:div>
    <w:div w:id="902830803">
      <w:bodyDiv w:val="1"/>
      <w:marLeft w:val="0"/>
      <w:marRight w:val="0"/>
      <w:marTop w:val="0"/>
      <w:marBottom w:val="0"/>
      <w:divBdr>
        <w:top w:val="none" w:sz="0" w:space="0" w:color="auto"/>
        <w:left w:val="none" w:sz="0" w:space="0" w:color="auto"/>
        <w:bottom w:val="none" w:sz="0" w:space="0" w:color="auto"/>
        <w:right w:val="none" w:sz="0" w:space="0" w:color="auto"/>
      </w:divBdr>
    </w:div>
    <w:div w:id="931090429">
      <w:bodyDiv w:val="1"/>
      <w:marLeft w:val="0"/>
      <w:marRight w:val="0"/>
      <w:marTop w:val="0"/>
      <w:marBottom w:val="0"/>
      <w:divBdr>
        <w:top w:val="none" w:sz="0" w:space="0" w:color="auto"/>
        <w:left w:val="none" w:sz="0" w:space="0" w:color="auto"/>
        <w:bottom w:val="none" w:sz="0" w:space="0" w:color="auto"/>
        <w:right w:val="none" w:sz="0" w:space="0" w:color="auto"/>
      </w:divBdr>
    </w:div>
    <w:div w:id="960770653">
      <w:bodyDiv w:val="1"/>
      <w:marLeft w:val="0"/>
      <w:marRight w:val="0"/>
      <w:marTop w:val="0"/>
      <w:marBottom w:val="0"/>
      <w:divBdr>
        <w:top w:val="none" w:sz="0" w:space="0" w:color="auto"/>
        <w:left w:val="none" w:sz="0" w:space="0" w:color="auto"/>
        <w:bottom w:val="none" w:sz="0" w:space="0" w:color="auto"/>
        <w:right w:val="none" w:sz="0" w:space="0" w:color="auto"/>
      </w:divBdr>
    </w:div>
    <w:div w:id="1097793662">
      <w:bodyDiv w:val="1"/>
      <w:marLeft w:val="0"/>
      <w:marRight w:val="0"/>
      <w:marTop w:val="0"/>
      <w:marBottom w:val="0"/>
      <w:divBdr>
        <w:top w:val="none" w:sz="0" w:space="0" w:color="auto"/>
        <w:left w:val="none" w:sz="0" w:space="0" w:color="auto"/>
        <w:bottom w:val="none" w:sz="0" w:space="0" w:color="auto"/>
        <w:right w:val="none" w:sz="0" w:space="0" w:color="auto"/>
      </w:divBdr>
    </w:div>
    <w:div w:id="1171026385">
      <w:bodyDiv w:val="1"/>
      <w:marLeft w:val="0"/>
      <w:marRight w:val="0"/>
      <w:marTop w:val="0"/>
      <w:marBottom w:val="0"/>
      <w:divBdr>
        <w:top w:val="none" w:sz="0" w:space="0" w:color="auto"/>
        <w:left w:val="none" w:sz="0" w:space="0" w:color="auto"/>
        <w:bottom w:val="none" w:sz="0" w:space="0" w:color="auto"/>
        <w:right w:val="none" w:sz="0" w:space="0" w:color="auto"/>
      </w:divBdr>
    </w:div>
    <w:div w:id="1217087738">
      <w:bodyDiv w:val="1"/>
      <w:marLeft w:val="0"/>
      <w:marRight w:val="0"/>
      <w:marTop w:val="0"/>
      <w:marBottom w:val="0"/>
      <w:divBdr>
        <w:top w:val="none" w:sz="0" w:space="0" w:color="auto"/>
        <w:left w:val="none" w:sz="0" w:space="0" w:color="auto"/>
        <w:bottom w:val="none" w:sz="0" w:space="0" w:color="auto"/>
        <w:right w:val="none" w:sz="0" w:space="0" w:color="auto"/>
      </w:divBdr>
    </w:div>
    <w:div w:id="1387684346">
      <w:bodyDiv w:val="1"/>
      <w:marLeft w:val="0"/>
      <w:marRight w:val="0"/>
      <w:marTop w:val="0"/>
      <w:marBottom w:val="0"/>
      <w:divBdr>
        <w:top w:val="none" w:sz="0" w:space="0" w:color="auto"/>
        <w:left w:val="none" w:sz="0" w:space="0" w:color="auto"/>
        <w:bottom w:val="none" w:sz="0" w:space="0" w:color="auto"/>
        <w:right w:val="none" w:sz="0" w:space="0" w:color="auto"/>
      </w:divBdr>
    </w:div>
    <w:div w:id="1481726171">
      <w:bodyDiv w:val="1"/>
      <w:marLeft w:val="0"/>
      <w:marRight w:val="0"/>
      <w:marTop w:val="0"/>
      <w:marBottom w:val="0"/>
      <w:divBdr>
        <w:top w:val="none" w:sz="0" w:space="0" w:color="auto"/>
        <w:left w:val="none" w:sz="0" w:space="0" w:color="auto"/>
        <w:bottom w:val="none" w:sz="0" w:space="0" w:color="auto"/>
        <w:right w:val="none" w:sz="0" w:space="0" w:color="auto"/>
      </w:divBdr>
    </w:div>
    <w:div w:id="1511600173">
      <w:bodyDiv w:val="1"/>
      <w:marLeft w:val="0"/>
      <w:marRight w:val="0"/>
      <w:marTop w:val="0"/>
      <w:marBottom w:val="0"/>
      <w:divBdr>
        <w:top w:val="none" w:sz="0" w:space="0" w:color="auto"/>
        <w:left w:val="none" w:sz="0" w:space="0" w:color="auto"/>
        <w:bottom w:val="none" w:sz="0" w:space="0" w:color="auto"/>
        <w:right w:val="none" w:sz="0" w:space="0" w:color="auto"/>
      </w:divBdr>
    </w:div>
    <w:div w:id="1603296272">
      <w:bodyDiv w:val="1"/>
      <w:marLeft w:val="0"/>
      <w:marRight w:val="0"/>
      <w:marTop w:val="0"/>
      <w:marBottom w:val="0"/>
      <w:divBdr>
        <w:top w:val="none" w:sz="0" w:space="0" w:color="auto"/>
        <w:left w:val="none" w:sz="0" w:space="0" w:color="auto"/>
        <w:bottom w:val="none" w:sz="0" w:space="0" w:color="auto"/>
        <w:right w:val="none" w:sz="0" w:space="0" w:color="auto"/>
      </w:divBdr>
      <w:divsChild>
        <w:div w:id="1090736302">
          <w:marLeft w:val="0"/>
          <w:marRight w:val="0"/>
          <w:marTop w:val="0"/>
          <w:marBottom w:val="750"/>
          <w:divBdr>
            <w:top w:val="none" w:sz="0" w:space="0" w:color="auto"/>
            <w:left w:val="none" w:sz="0" w:space="0" w:color="auto"/>
            <w:bottom w:val="none" w:sz="0" w:space="0" w:color="auto"/>
            <w:right w:val="none" w:sz="0" w:space="0" w:color="auto"/>
          </w:divBdr>
        </w:div>
        <w:div w:id="1097554452">
          <w:marLeft w:val="0"/>
          <w:marRight w:val="0"/>
          <w:marTop w:val="225"/>
          <w:marBottom w:val="375"/>
          <w:divBdr>
            <w:top w:val="none" w:sz="0" w:space="0" w:color="auto"/>
            <w:left w:val="none" w:sz="0" w:space="0" w:color="auto"/>
            <w:bottom w:val="none" w:sz="0" w:space="0" w:color="auto"/>
            <w:right w:val="none" w:sz="0" w:space="0" w:color="auto"/>
          </w:divBdr>
        </w:div>
      </w:divsChild>
    </w:div>
    <w:div w:id="1751464037">
      <w:bodyDiv w:val="1"/>
      <w:marLeft w:val="0"/>
      <w:marRight w:val="0"/>
      <w:marTop w:val="0"/>
      <w:marBottom w:val="0"/>
      <w:divBdr>
        <w:top w:val="none" w:sz="0" w:space="0" w:color="auto"/>
        <w:left w:val="none" w:sz="0" w:space="0" w:color="auto"/>
        <w:bottom w:val="none" w:sz="0" w:space="0" w:color="auto"/>
        <w:right w:val="none" w:sz="0" w:space="0" w:color="auto"/>
      </w:divBdr>
    </w:div>
    <w:div w:id="2029257634">
      <w:bodyDiv w:val="1"/>
      <w:marLeft w:val="0"/>
      <w:marRight w:val="0"/>
      <w:marTop w:val="0"/>
      <w:marBottom w:val="0"/>
      <w:divBdr>
        <w:top w:val="none" w:sz="0" w:space="0" w:color="auto"/>
        <w:left w:val="none" w:sz="0" w:space="0" w:color="auto"/>
        <w:bottom w:val="none" w:sz="0" w:space="0" w:color="auto"/>
        <w:right w:val="none" w:sz="0" w:space="0" w:color="auto"/>
      </w:divBdr>
    </w:div>
    <w:div w:id="2038310026">
      <w:bodyDiv w:val="1"/>
      <w:marLeft w:val="0"/>
      <w:marRight w:val="0"/>
      <w:marTop w:val="0"/>
      <w:marBottom w:val="0"/>
      <w:divBdr>
        <w:top w:val="none" w:sz="0" w:space="0" w:color="auto"/>
        <w:left w:val="none" w:sz="0" w:space="0" w:color="auto"/>
        <w:bottom w:val="none" w:sz="0" w:space="0" w:color="auto"/>
        <w:right w:val="none" w:sz="0" w:space="0" w:color="auto"/>
      </w:divBdr>
    </w:div>
    <w:div w:id="206564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header" Target="header3.xml"/></Relationships>
</file>

<file path=word/theme/theme1.xml><?xml version="1.0" encoding="utf-8"?>
<a:theme xmlns:a="http://schemas.openxmlformats.org/drawingml/2006/main" name="TAS Template">
  <a:themeElements>
    <a:clrScheme name="TAS">
      <a:dk1>
        <a:sysClr val="windowText" lastClr="000000"/>
      </a:dk1>
      <a:lt1>
        <a:sysClr val="window" lastClr="FFFFFF"/>
      </a:lt1>
      <a:dk2>
        <a:srgbClr val="92B523"/>
      </a:dk2>
      <a:lt2>
        <a:srgbClr val="D8D8D8"/>
      </a:lt2>
      <a:accent1>
        <a:srgbClr val="92B523"/>
      </a:accent1>
      <a:accent2>
        <a:srgbClr val="0083C3"/>
      </a:accent2>
      <a:accent3>
        <a:srgbClr val="FAAF3F"/>
      </a:accent3>
      <a:accent4>
        <a:srgbClr val="FF8038"/>
      </a:accent4>
      <a:accent5>
        <a:srgbClr val="002F87"/>
      </a:accent5>
      <a:accent6>
        <a:srgbClr val="4BACC6"/>
      </a:accent6>
      <a:hlink>
        <a:srgbClr val="0081C3"/>
      </a:hlink>
      <a:folHlink>
        <a:srgbClr val="954F72"/>
      </a:folHlink>
    </a:clrScheme>
    <a:fontScheme name="TA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1C2B0904A8564F867A43D3BFAC6846" ma:contentTypeVersion="13" ma:contentTypeDescription="Create a new document." ma:contentTypeScope="" ma:versionID="4d173d7571d7aa34087254293f5d06c7">
  <xsd:schema xmlns:xsd="http://www.w3.org/2001/XMLSchema" xmlns:xs="http://www.w3.org/2001/XMLSchema" xmlns:p="http://schemas.microsoft.com/office/2006/metadata/properties" xmlns:ns2="91acc242-042f-4e48-9151-0e0c6a7a9be1" xmlns:ns3="293c9e75-b20e-4906-90da-ca51772f4013" targetNamespace="http://schemas.microsoft.com/office/2006/metadata/properties" ma:root="true" ma:fieldsID="58e265900ac53cddf119bf3a3d3df5f5" ns2:_="" ns3:_="">
    <xsd:import namespace="91acc242-042f-4e48-9151-0e0c6a7a9be1"/>
    <xsd:import namespace="293c9e75-b20e-4906-90da-ca51772f4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cc242-042f-4e48-9151-0e0c6a7a9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3c9e75-b20e-4906-90da-ca51772f40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4ABB29-F194-4A02-8919-BEFD2F3E9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cc242-042f-4e48-9151-0e0c6a7a9be1"/>
    <ds:schemaRef ds:uri="293c9e75-b20e-4906-90da-ca51772f4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0F2A29-0B8B-4ECA-880E-38113B29F128}">
  <ds:schemaRefs>
    <ds:schemaRef ds:uri="http://schemas.microsoft.com/sharepoint/v3/contenttype/forms"/>
  </ds:schemaRefs>
</ds:datastoreItem>
</file>

<file path=customXml/itemProps3.xml><?xml version="1.0" encoding="utf-8"?>
<ds:datastoreItem xmlns:ds="http://schemas.openxmlformats.org/officeDocument/2006/customXml" ds:itemID="{FD401291-7136-4F29-A9A3-652829966B18}">
  <ds:schemaRefs>
    <ds:schemaRef ds:uri="http://schemas.openxmlformats.org/officeDocument/2006/bibliography"/>
  </ds:schemaRefs>
</ds:datastoreItem>
</file>

<file path=customXml/itemProps4.xml><?xml version="1.0" encoding="utf-8"?>
<ds:datastoreItem xmlns:ds="http://schemas.openxmlformats.org/officeDocument/2006/customXml" ds:itemID="{9ECF54AA-1A39-41BA-91A2-D0A5215834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TAS</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Perry</dc:creator>
  <cp:keywords/>
  <dc:description/>
  <cp:lastModifiedBy>Sue McCullough</cp:lastModifiedBy>
  <cp:revision>2</cp:revision>
  <cp:lastPrinted>2019-09-26T06:51:00Z</cp:lastPrinted>
  <dcterms:created xsi:type="dcterms:W3CDTF">2022-04-12T20:44:00Z</dcterms:created>
  <dcterms:modified xsi:type="dcterms:W3CDTF">2022-04-12T20:44:00Z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0x0101009C1C2B0904A8564F867A43D3BFAC6846</vt:lpwstr>
  </property>
  <property fmtid="{D5CDD505-2E9C-101B-9397-08002B2CF9AE}" pid="3" name="Order">
    <vt:r8>3810400</vt:r8>
  </property>
  <property fmtid="{D5CDD505-2E9C-101B-9397-08002B2CF9AE}" pid="4" name="ClassificationContentMarkingHeaderShapeIds">
    <vt:lpwstr>2,3,4</vt:lpwstr>
  </property>
  <property fmtid="{D5CDD505-2E9C-101B-9397-08002B2CF9AE}" pid="5" name="ClassificationContentMarkingHeaderFontProps">
    <vt:lpwstr>#000000,10,Calibri</vt:lpwstr>
  </property>
  <property fmtid="{D5CDD505-2E9C-101B-9397-08002B2CF9AE}" pid="6" name="ClassificationContentMarkingHeaderText">
    <vt:lpwstr>UNCLASSIFIED</vt:lpwstr>
  </property>
  <property fmtid="{D5CDD505-2E9C-101B-9397-08002B2CF9AE}" pid="7" name="MSIP_Label_96de0340-1b79-4219-98d1-80f4121fcf17_Enabled">
    <vt:lpwstr>true</vt:lpwstr>
  </property>
  <property fmtid="{D5CDD505-2E9C-101B-9397-08002B2CF9AE}" pid="8" name="MSIP_Label_96de0340-1b79-4219-98d1-80f4121fcf17_SetDate">
    <vt:lpwstr>2022-03-16T01:08:05Z</vt:lpwstr>
  </property>
  <property fmtid="{D5CDD505-2E9C-101B-9397-08002B2CF9AE}" pid="9" name="MSIP_Label_96de0340-1b79-4219-98d1-80f4121fcf17_Method">
    <vt:lpwstr>Privileged</vt:lpwstr>
  </property>
  <property fmtid="{D5CDD505-2E9C-101B-9397-08002B2CF9AE}" pid="10" name="MSIP_Label_96de0340-1b79-4219-98d1-80f4121fcf17_Name">
    <vt:lpwstr>UNCLASSIFIED</vt:lpwstr>
  </property>
  <property fmtid="{D5CDD505-2E9C-101B-9397-08002B2CF9AE}" pid="11" name="MSIP_Label_96de0340-1b79-4219-98d1-80f4121fcf17_SiteId">
    <vt:lpwstr>0051ec7f-c4f5-41e6-b397-24b855b2a57e</vt:lpwstr>
  </property>
  <property fmtid="{D5CDD505-2E9C-101B-9397-08002B2CF9AE}" pid="12" name="MSIP_Label_96de0340-1b79-4219-98d1-80f4121fcf17_ActionId">
    <vt:lpwstr>1446b2be-67fe-4b00-9bf8-0818f5b7d5f0</vt:lpwstr>
  </property>
  <property fmtid="{D5CDD505-2E9C-101B-9397-08002B2CF9AE}" pid="13" name="MSIP_Label_96de0340-1b79-4219-98d1-80f4121fcf17_ContentBits">
    <vt:lpwstr>1</vt:lpwstr>
  </property>
</Properties>
</file>