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E680" w14:textId="77777777" w:rsidR="009B4B7B" w:rsidRPr="009B4B7B" w:rsidRDefault="009B4B7B">
      <w:pPr>
        <w:rPr>
          <w:rFonts w:cs="Calibri"/>
        </w:rPr>
      </w:pPr>
    </w:p>
    <w:p w14:paraId="33B08B53" w14:textId="77777777" w:rsidR="009B4B7B" w:rsidRPr="009B4B7B" w:rsidRDefault="009B4B7B" w:rsidP="009B4B7B">
      <w:pPr>
        <w:pStyle w:val="Heading1"/>
        <w:keepNext w:val="0"/>
        <w:keepLines w:val="0"/>
        <w:spacing w:before="480"/>
        <w:rPr>
          <w:rFonts w:ascii="Calibri" w:eastAsia="Montserrat Black" w:hAnsi="Calibri" w:cs="Calibri"/>
          <w:b/>
          <w:color w:val="FF0000"/>
          <w:sz w:val="36"/>
          <w:szCs w:val="28"/>
        </w:rPr>
      </w:pPr>
      <w:r w:rsidRPr="009B4B7B">
        <w:rPr>
          <w:rFonts w:ascii="Calibri" w:eastAsia="Montserrat Black" w:hAnsi="Calibri" w:cs="Calibri"/>
          <w:b/>
          <w:color w:val="FF0000"/>
          <w:sz w:val="36"/>
          <w:szCs w:val="28"/>
        </w:rPr>
        <w:t>Nursing Pay Equity Settlement FAQs</w:t>
      </w:r>
    </w:p>
    <w:p w14:paraId="16DDCC4B" w14:textId="77777777" w:rsidR="009B4B7B" w:rsidRPr="009B4B7B" w:rsidRDefault="009B4B7B" w:rsidP="009B4B7B">
      <w:pPr>
        <w:rPr>
          <w:rFonts w:cs="Calibri"/>
          <w:color w:val="434343"/>
          <w:sz w:val="20"/>
          <w:szCs w:val="20"/>
        </w:rPr>
      </w:pPr>
    </w:p>
    <w:p w14:paraId="55F30441" w14:textId="77777777" w:rsidR="009B4B7B" w:rsidRPr="009B4B7B" w:rsidRDefault="009B4B7B" w:rsidP="009B4B7B">
      <w:pPr>
        <w:rPr>
          <w:rFonts w:cs="Calibri"/>
        </w:rPr>
      </w:pPr>
      <w:r w:rsidRPr="009B4B7B">
        <w:rPr>
          <w:rFonts w:cs="Calibri"/>
          <w:color w:val="434343"/>
          <w:sz w:val="20"/>
          <w:szCs w:val="20"/>
        </w:rPr>
        <w:t xml:space="preserve">Full information about the Settlement can be viewed at </w:t>
      </w:r>
      <w:hyperlink r:id="rId7" w:history="1">
        <w:r w:rsidRPr="009B4B7B">
          <w:rPr>
            <w:rStyle w:val="Hyperlink"/>
            <w:rFonts w:cs="Calibri"/>
          </w:rPr>
          <w:t>https://www.psa.org.nz/psa/equal-pay-for-dhb-mental-and-public-health</w:t>
        </w:r>
      </w:hyperlink>
    </w:p>
    <w:p w14:paraId="66F7157E" w14:textId="77777777" w:rsidR="009B4B7B" w:rsidRPr="009B4B7B" w:rsidRDefault="009B4B7B" w:rsidP="009B4B7B">
      <w:pPr>
        <w:rPr>
          <w:rFonts w:cs="Calibri"/>
          <w:b/>
          <w:color w:val="FF0000"/>
          <w:sz w:val="28"/>
          <w:szCs w:val="28"/>
        </w:rPr>
      </w:pPr>
    </w:p>
    <w:tbl>
      <w:tblPr>
        <w:tblW w:w="509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1"/>
        <w:gridCol w:w="11709"/>
        <w:gridCol w:w="26"/>
      </w:tblGrid>
      <w:tr w:rsidR="009B4B7B" w:rsidRPr="009B4B7B" w14:paraId="19A89C4E" w14:textId="77777777" w:rsidTr="00F65D9D">
        <w:tc>
          <w:tcPr>
            <w:tcW w:w="5000" w:type="pct"/>
            <w:gridSpan w:val="3"/>
            <w:tcBorders>
              <w:top w:val="single" w:sz="8" w:space="0" w:color="CCCCCC"/>
              <w:left w:val="single" w:sz="8" w:space="0" w:color="CCCCCC"/>
              <w:bottom w:val="single" w:sz="8" w:space="0" w:color="CCCCCC"/>
              <w:right w:val="single" w:sz="8" w:space="0" w:color="CCCCCC"/>
            </w:tcBorders>
            <w:shd w:val="clear" w:color="auto" w:fill="FF0000" w:themeFill="text2"/>
          </w:tcPr>
          <w:p w14:paraId="3000617C" w14:textId="77777777" w:rsidR="009B4B7B" w:rsidRPr="009B4B7B" w:rsidRDefault="009B4B7B" w:rsidP="00233289">
            <w:pPr>
              <w:widowControl w:val="0"/>
              <w:rPr>
                <w:rFonts w:eastAsia="Montserrat" w:cs="Calibri"/>
                <w:b/>
                <w:color w:val="434343"/>
                <w:sz w:val="20"/>
                <w:szCs w:val="20"/>
              </w:rPr>
            </w:pPr>
          </w:p>
        </w:tc>
      </w:tr>
      <w:tr w:rsidR="009B4B7B" w:rsidRPr="009B4B7B" w14:paraId="5835AB64"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811009" w14:textId="77777777" w:rsidR="009B4B7B" w:rsidRPr="009B4B7B" w:rsidRDefault="009B4B7B" w:rsidP="00233289">
            <w:pPr>
              <w:rPr>
                <w:rFonts w:cs="Calibri"/>
                <w:b/>
                <w:sz w:val="20"/>
                <w:szCs w:val="20"/>
              </w:rPr>
            </w:pPr>
          </w:p>
          <w:p w14:paraId="16510FD9" w14:textId="77777777" w:rsidR="009B4B7B" w:rsidRPr="009B4B7B" w:rsidRDefault="009B4B7B" w:rsidP="00233289">
            <w:pPr>
              <w:rPr>
                <w:rFonts w:cs="Calibri"/>
                <w:b/>
                <w:sz w:val="20"/>
                <w:szCs w:val="20"/>
              </w:rPr>
            </w:pPr>
            <w:r w:rsidRPr="009B4B7B">
              <w:rPr>
                <w:rFonts w:cs="Calibri"/>
                <w:b/>
                <w:sz w:val="20"/>
                <w:szCs w:val="20"/>
              </w:rPr>
              <w:t>What is pay equity?</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D9C4EF" w14:textId="77777777" w:rsidR="009B4B7B" w:rsidRPr="009B4B7B" w:rsidRDefault="009B4B7B" w:rsidP="00233289">
            <w:pPr>
              <w:jc w:val="both"/>
              <w:rPr>
                <w:rFonts w:cs="Calibri"/>
                <w:sz w:val="20"/>
                <w:szCs w:val="20"/>
              </w:rPr>
            </w:pPr>
          </w:p>
          <w:p w14:paraId="4364DB24" w14:textId="77777777" w:rsidR="009B4B7B" w:rsidRPr="009B4B7B" w:rsidRDefault="009B4B7B" w:rsidP="00233289">
            <w:pPr>
              <w:jc w:val="both"/>
              <w:rPr>
                <w:rFonts w:cs="Calibri"/>
                <w:sz w:val="20"/>
                <w:szCs w:val="20"/>
              </w:rPr>
            </w:pPr>
            <w:r w:rsidRPr="009B4B7B">
              <w:rPr>
                <w:rFonts w:cs="Calibri"/>
                <w:sz w:val="20"/>
                <w:szCs w:val="20"/>
              </w:rPr>
              <w:t>Pay equity is about the same pay for doing jobs that are different but are of equal value. It recognises that while on the surface two jobs may look very different to each other, they require the same or similar degrees of skills, responsibility, conditions, experience, and effort.</w:t>
            </w:r>
          </w:p>
          <w:p w14:paraId="0F37D783" w14:textId="77777777" w:rsidR="009B4B7B" w:rsidRPr="009B4B7B" w:rsidRDefault="009B4B7B" w:rsidP="00233289">
            <w:pPr>
              <w:jc w:val="both"/>
              <w:rPr>
                <w:rFonts w:cs="Calibri"/>
                <w:sz w:val="20"/>
                <w:szCs w:val="20"/>
              </w:rPr>
            </w:pPr>
          </w:p>
          <w:p w14:paraId="6C53717D" w14:textId="77777777" w:rsidR="009B4B7B" w:rsidRPr="009B4B7B" w:rsidRDefault="009B4B7B" w:rsidP="00233289">
            <w:pPr>
              <w:jc w:val="both"/>
              <w:rPr>
                <w:rFonts w:cs="Calibri"/>
                <w:sz w:val="20"/>
                <w:szCs w:val="20"/>
              </w:rPr>
            </w:pPr>
            <w:r w:rsidRPr="009B4B7B">
              <w:rPr>
                <w:rFonts w:cs="Calibri"/>
                <w:sz w:val="20"/>
                <w:szCs w:val="20"/>
              </w:rPr>
              <w:t>Pay equity acknowledges that female-dominated occupations may have experienced perceptions and prejudices that have led to sex-based undervaluation of the work. In brief, pay equity is about correcting sex-based undervaluation of female-dominated workforces.</w:t>
            </w:r>
          </w:p>
        </w:tc>
      </w:tr>
      <w:tr w:rsidR="009B4B7B" w:rsidRPr="009B4B7B" w14:paraId="4C58782B"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DFCF339" w14:textId="77777777" w:rsidR="009B4B7B" w:rsidRPr="009B4B7B" w:rsidRDefault="009B4B7B" w:rsidP="00233289">
            <w:pPr>
              <w:rPr>
                <w:rFonts w:cs="Calibri"/>
                <w:b/>
                <w:sz w:val="20"/>
                <w:szCs w:val="20"/>
              </w:rPr>
            </w:pPr>
            <w:r w:rsidRPr="009B4B7B">
              <w:rPr>
                <w:rFonts w:cs="Calibri"/>
                <w:b/>
                <w:sz w:val="20"/>
                <w:szCs w:val="20"/>
              </w:rPr>
              <w:t>What’s the difference between pay equity and equal pay?</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C0B87A9" w14:textId="77777777" w:rsidR="009B4B7B" w:rsidRPr="009B4B7B" w:rsidRDefault="009B4B7B" w:rsidP="00233289">
            <w:pPr>
              <w:jc w:val="both"/>
              <w:rPr>
                <w:rFonts w:cs="Calibri"/>
                <w:sz w:val="20"/>
                <w:szCs w:val="20"/>
              </w:rPr>
            </w:pPr>
          </w:p>
          <w:p w14:paraId="3160097B" w14:textId="77777777" w:rsidR="009B4B7B" w:rsidRPr="009B4B7B" w:rsidRDefault="009B4B7B" w:rsidP="00233289">
            <w:pPr>
              <w:jc w:val="both"/>
              <w:rPr>
                <w:rFonts w:cs="Calibri"/>
                <w:sz w:val="20"/>
                <w:szCs w:val="20"/>
              </w:rPr>
            </w:pPr>
            <w:r w:rsidRPr="009B4B7B">
              <w:rPr>
                <w:rFonts w:cs="Calibri"/>
                <w:sz w:val="20"/>
                <w:szCs w:val="20"/>
              </w:rPr>
              <w:t>‘Equal pay’ generally refers to men and women receiving the same pay for doing the same job. ‘Pay equity’ is about men and women receiving the same pay for doing work that is of equal value.</w:t>
            </w:r>
          </w:p>
        </w:tc>
      </w:tr>
      <w:tr w:rsidR="009B4B7B" w:rsidRPr="009B4B7B" w14:paraId="68B1721F"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06E435" w14:textId="77777777" w:rsidR="009B4B7B" w:rsidRPr="009B4B7B" w:rsidRDefault="009B4B7B" w:rsidP="00233289">
            <w:pPr>
              <w:rPr>
                <w:rFonts w:cs="Calibri"/>
                <w:b/>
                <w:sz w:val="20"/>
                <w:szCs w:val="20"/>
              </w:rPr>
            </w:pPr>
          </w:p>
          <w:p w14:paraId="186DB640" w14:textId="77777777" w:rsidR="009B4B7B" w:rsidRPr="009B4B7B" w:rsidRDefault="009B4B7B" w:rsidP="00233289">
            <w:pPr>
              <w:rPr>
                <w:rFonts w:cs="Calibri"/>
                <w:b/>
                <w:sz w:val="20"/>
                <w:szCs w:val="20"/>
              </w:rPr>
            </w:pPr>
            <w:r w:rsidRPr="009B4B7B">
              <w:rPr>
                <w:rFonts w:cs="Calibri"/>
                <w:b/>
                <w:sz w:val="20"/>
                <w:szCs w:val="20"/>
              </w:rPr>
              <w:t>What claims have been made in DHBs?</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3F5656E" w14:textId="77777777" w:rsidR="009B4B7B" w:rsidRPr="009B4B7B" w:rsidRDefault="009B4B7B" w:rsidP="00233289">
            <w:pPr>
              <w:jc w:val="both"/>
              <w:rPr>
                <w:rFonts w:cs="Calibri"/>
                <w:sz w:val="20"/>
                <w:szCs w:val="20"/>
              </w:rPr>
            </w:pPr>
          </w:p>
          <w:p w14:paraId="3840FEEF" w14:textId="77777777" w:rsidR="009B4B7B" w:rsidRPr="009B4B7B" w:rsidRDefault="009B4B7B" w:rsidP="00233289">
            <w:pPr>
              <w:jc w:val="both"/>
              <w:rPr>
                <w:rFonts w:cs="Calibri"/>
                <w:sz w:val="20"/>
                <w:szCs w:val="20"/>
              </w:rPr>
            </w:pPr>
            <w:r w:rsidRPr="009B4B7B">
              <w:rPr>
                <w:rFonts w:cs="Calibri"/>
                <w:sz w:val="20"/>
                <w:szCs w:val="20"/>
              </w:rPr>
              <w:t>Unions have raised pay equity claims for roles within the following workforces:</w:t>
            </w:r>
          </w:p>
          <w:p w14:paraId="3080E5BA" w14:textId="77777777" w:rsidR="009B4B7B" w:rsidRPr="009B4B7B" w:rsidRDefault="009B4B7B" w:rsidP="00233289">
            <w:pPr>
              <w:jc w:val="both"/>
              <w:rPr>
                <w:rFonts w:cs="Calibri"/>
                <w:sz w:val="20"/>
                <w:szCs w:val="20"/>
              </w:rPr>
            </w:pPr>
            <w:r w:rsidRPr="009B4B7B">
              <w:rPr>
                <w:rFonts w:cs="Calibri"/>
                <w:sz w:val="20"/>
                <w:szCs w:val="20"/>
              </w:rPr>
              <w:t>•</w:t>
            </w:r>
            <w:r w:rsidRPr="009B4B7B">
              <w:rPr>
                <w:rFonts w:cs="Calibri"/>
                <w:sz w:val="20"/>
                <w:szCs w:val="20"/>
              </w:rPr>
              <w:tab/>
            </w:r>
            <w:r w:rsidRPr="009B4B7B">
              <w:rPr>
                <w:rFonts w:cs="Calibri"/>
                <w:b/>
                <w:sz w:val="20"/>
                <w:szCs w:val="20"/>
              </w:rPr>
              <w:t>Nursing</w:t>
            </w:r>
            <w:r w:rsidRPr="009B4B7B">
              <w:rPr>
                <w:rFonts w:cs="Calibri"/>
                <w:sz w:val="20"/>
                <w:szCs w:val="20"/>
              </w:rPr>
              <w:t xml:space="preserve"> – New Zealand Nurses Organisation (NZNO) and Public Service Association (PSA).</w:t>
            </w:r>
          </w:p>
          <w:p w14:paraId="5BF9CE4F" w14:textId="77777777" w:rsidR="009B4B7B" w:rsidRPr="009B4B7B" w:rsidRDefault="009B4B7B" w:rsidP="00233289">
            <w:pPr>
              <w:jc w:val="both"/>
              <w:rPr>
                <w:rFonts w:cs="Calibri"/>
                <w:sz w:val="20"/>
                <w:szCs w:val="20"/>
              </w:rPr>
            </w:pPr>
            <w:r w:rsidRPr="009B4B7B">
              <w:rPr>
                <w:rFonts w:cs="Calibri"/>
                <w:sz w:val="20"/>
                <w:szCs w:val="20"/>
              </w:rPr>
              <w:t>•</w:t>
            </w:r>
            <w:r w:rsidRPr="009B4B7B">
              <w:rPr>
                <w:rFonts w:cs="Calibri"/>
                <w:sz w:val="20"/>
                <w:szCs w:val="20"/>
              </w:rPr>
              <w:tab/>
            </w:r>
            <w:r w:rsidRPr="009B4B7B">
              <w:rPr>
                <w:rFonts w:cs="Calibri"/>
                <w:b/>
                <w:sz w:val="20"/>
                <w:szCs w:val="20"/>
              </w:rPr>
              <w:t>Administration and Clerical</w:t>
            </w:r>
            <w:r w:rsidRPr="009B4B7B">
              <w:rPr>
                <w:rFonts w:cs="Calibri"/>
                <w:sz w:val="20"/>
                <w:szCs w:val="20"/>
              </w:rPr>
              <w:t xml:space="preserve"> – Public Service Association (PSA).</w:t>
            </w:r>
          </w:p>
          <w:p w14:paraId="196CA051" w14:textId="77777777" w:rsidR="009B4B7B" w:rsidRPr="009B4B7B" w:rsidRDefault="009B4B7B" w:rsidP="00233289">
            <w:pPr>
              <w:jc w:val="both"/>
              <w:rPr>
                <w:rFonts w:cs="Calibri"/>
                <w:sz w:val="20"/>
                <w:szCs w:val="20"/>
              </w:rPr>
            </w:pPr>
            <w:r w:rsidRPr="009B4B7B">
              <w:rPr>
                <w:rFonts w:cs="Calibri"/>
                <w:sz w:val="20"/>
                <w:szCs w:val="20"/>
              </w:rPr>
              <w:t>•</w:t>
            </w:r>
            <w:r w:rsidRPr="009B4B7B">
              <w:rPr>
                <w:rFonts w:cs="Calibri"/>
                <w:sz w:val="20"/>
                <w:szCs w:val="20"/>
              </w:rPr>
              <w:tab/>
            </w:r>
            <w:r w:rsidRPr="009B4B7B">
              <w:rPr>
                <w:rFonts w:cs="Calibri"/>
                <w:b/>
                <w:sz w:val="20"/>
                <w:szCs w:val="20"/>
              </w:rPr>
              <w:t xml:space="preserve">Midwifery </w:t>
            </w:r>
            <w:r w:rsidRPr="009B4B7B">
              <w:rPr>
                <w:rFonts w:cs="Calibri"/>
                <w:sz w:val="20"/>
                <w:szCs w:val="20"/>
              </w:rPr>
              <w:t>– New Zealand Nurses Organisation (NZNO) and Midwifery Employee               Representation and Advocacy Service (MERAS)</w:t>
            </w:r>
          </w:p>
          <w:p w14:paraId="774F0150" w14:textId="77777777" w:rsidR="009B4B7B" w:rsidRPr="009B4B7B" w:rsidRDefault="009B4B7B" w:rsidP="00233289">
            <w:pPr>
              <w:jc w:val="both"/>
              <w:rPr>
                <w:rFonts w:cs="Calibri"/>
                <w:sz w:val="20"/>
                <w:szCs w:val="20"/>
              </w:rPr>
            </w:pPr>
            <w:r w:rsidRPr="009B4B7B">
              <w:rPr>
                <w:rFonts w:cs="Calibri"/>
                <w:sz w:val="20"/>
                <w:szCs w:val="20"/>
              </w:rPr>
              <w:t>•</w:t>
            </w:r>
            <w:r w:rsidRPr="009B4B7B">
              <w:rPr>
                <w:rFonts w:cs="Calibri"/>
                <w:sz w:val="20"/>
                <w:szCs w:val="20"/>
              </w:rPr>
              <w:tab/>
            </w:r>
            <w:r w:rsidRPr="009B4B7B">
              <w:rPr>
                <w:rFonts w:cs="Calibri"/>
                <w:b/>
                <w:sz w:val="20"/>
                <w:szCs w:val="20"/>
              </w:rPr>
              <w:t xml:space="preserve">Allied, </w:t>
            </w:r>
            <w:proofErr w:type="gramStart"/>
            <w:r w:rsidRPr="009B4B7B">
              <w:rPr>
                <w:rFonts w:cs="Calibri"/>
                <w:b/>
                <w:sz w:val="20"/>
                <w:szCs w:val="20"/>
              </w:rPr>
              <w:t>Scientific</w:t>
            </w:r>
            <w:proofErr w:type="gramEnd"/>
            <w:r w:rsidRPr="009B4B7B">
              <w:rPr>
                <w:rFonts w:cs="Calibri"/>
                <w:b/>
                <w:sz w:val="20"/>
                <w:szCs w:val="20"/>
              </w:rPr>
              <w:t xml:space="preserve"> and Technical</w:t>
            </w:r>
            <w:r w:rsidRPr="009B4B7B">
              <w:rPr>
                <w:rFonts w:cs="Calibri"/>
                <w:sz w:val="20"/>
                <w:szCs w:val="20"/>
              </w:rPr>
              <w:t xml:space="preserve"> – Public Service Association (PSA) and Association of</w:t>
            </w:r>
          </w:p>
          <w:p w14:paraId="2CF25B9D" w14:textId="77777777" w:rsidR="009B4B7B" w:rsidRPr="009B4B7B" w:rsidRDefault="009B4B7B" w:rsidP="00233289">
            <w:pPr>
              <w:jc w:val="both"/>
              <w:rPr>
                <w:rFonts w:cs="Calibri"/>
                <w:sz w:val="20"/>
                <w:szCs w:val="20"/>
              </w:rPr>
            </w:pPr>
            <w:r w:rsidRPr="009B4B7B">
              <w:rPr>
                <w:rFonts w:cs="Calibri"/>
                <w:sz w:val="20"/>
                <w:szCs w:val="20"/>
              </w:rPr>
              <w:t xml:space="preserve">             Professional and Executive Employees (APEX).</w:t>
            </w:r>
          </w:p>
        </w:tc>
      </w:tr>
      <w:tr w:rsidR="009B4B7B" w:rsidRPr="009B4B7B" w14:paraId="6F51201F"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A73F22A" w14:textId="77777777" w:rsidR="009B4B7B" w:rsidRPr="009B4B7B" w:rsidRDefault="009B4B7B" w:rsidP="00233289">
            <w:pPr>
              <w:rPr>
                <w:rFonts w:cs="Calibri"/>
                <w:b/>
                <w:sz w:val="20"/>
                <w:szCs w:val="20"/>
              </w:rPr>
            </w:pPr>
          </w:p>
          <w:p w14:paraId="4D1E2C78" w14:textId="77777777" w:rsidR="009B4B7B" w:rsidRPr="009B4B7B" w:rsidRDefault="009B4B7B" w:rsidP="00233289">
            <w:pPr>
              <w:rPr>
                <w:rFonts w:cs="Calibri"/>
                <w:b/>
                <w:sz w:val="20"/>
                <w:szCs w:val="20"/>
              </w:rPr>
            </w:pPr>
            <w:r w:rsidRPr="009B4B7B">
              <w:rPr>
                <w:rFonts w:cs="Calibri"/>
                <w:b/>
                <w:sz w:val="20"/>
                <w:szCs w:val="20"/>
              </w:rPr>
              <w:t>What is the process for addressing a pay equity claim?</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99CD123" w14:textId="77777777" w:rsidR="009B4B7B" w:rsidRPr="009B4B7B" w:rsidRDefault="009B4B7B" w:rsidP="00233289">
            <w:pPr>
              <w:jc w:val="both"/>
              <w:rPr>
                <w:rFonts w:cs="Calibri"/>
                <w:sz w:val="20"/>
                <w:szCs w:val="20"/>
              </w:rPr>
            </w:pPr>
          </w:p>
          <w:p w14:paraId="300FE184" w14:textId="77777777" w:rsidR="009B4B7B" w:rsidRPr="009B4B7B" w:rsidRDefault="009B4B7B" w:rsidP="00233289">
            <w:pPr>
              <w:jc w:val="both"/>
              <w:rPr>
                <w:rFonts w:cs="Calibri"/>
                <w:sz w:val="20"/>
                <w:szCs w:val="20"/>
              </w:rPr>
            </w:pPr>
            <w:r w:rsidRPr="009B4B7B">
              <w:rPr>
                <w:rFonts w:cs="Calibri"/>
                <w:sz w:val="20"/>
                <w:szCs w:val="20"/>
              </w:rPr>
              <w:t>There are three key stages to the pay equity process:</w:t>
            </w:r>
          </w:p>
          <w:p w14:paraId="6C4B4876" w14:textId="77777777" w:rsidR="009B4B7B" w:rsidRPr="009B4B7B" w:rsidRDefault="009B4B7B" w:rsidP="00233289">
            <w:pPr>
              <w:pStyle w:val="ListParagraph"/>
              <w:numPr>
                <w:ilvl w:val="0"/>
                <w:numId w:val="4"/>
              </w:numPr>
              <w:jc w:val="both"/>
              <w:rPr>
                <w:rFonts w:ascii="Calibri" w:hAnsi="Calibri" w:cs="Calibri"/>
                <w:sz w:val="20"/>
                <w:szCs w:val="20"/>
              </w:rPr>
            </w:pPr>
            <w:r w:rsidRPr="009B4B7B">
              <w:rPr>
                <w:rFonts w:ascii="Calibri" w:hAnsi="Calibri" w:cs="Calibri"/>
                <w:sz w:val="20"/>
                <w:szCs w:val="20"/>
              </w:rPr>
              <w:t xml:space="preserve">Raising a claim. </w:t>
            </w:r>
          </w:p>
          <w:p w14:paraId="1F27C9F6" w14:textId="77777777" w:rsidR="009B4B7B" w:rsidRPr="009B4B7B" w:rsidRDefault="009B4B7B" w:rsidP="00233289">
            <w:pPr>
              <w:pStyle w:val="ListParagraph"/>
              <w:numPr>
                <w:ilvl w:val="0"/>
                <w:numId w:val="4"/>
              </w:numPr>
              <w:jc w:val="both"/>
              <w:rPr>
                <w:rFonts w:ascii="Calibri" w:hAnsi="Calibri" w:cs="Calibri"/>
                <w:sz w:val="20"/>
                <w:szCs w:val="20"/>
              </w:rPr>
            </w:pPr>
            <w:r w:rsidRPr="009B4B7B">
              <w:rPr>
                <w:rFonts w:ascii="Calibri" w:hAnsi="Calibri" w:cs="Calibri"/>
                <w:sz w:val="20"/>
                <w:szCs w:val="20"/>
              </w:rPr>
              <w:t xml:space="preserve">Assessing a claim – the </w:t>
            </w:r>
            <w:r w:rsidRPr="009B4B7B">
              <w:rPr>
                <w:rFonts w:ascii="Calibri" w:hAnsi="Calibri" w:cs="Calibri"/>
                <w:b/>
                <w:bCs/>
                <w:sz w:val="20"/>
                <w:szCs w:val="20"/>
              </w:rPr>
              <w:t xml:space="preserve">Allied, </w:t>
            </w:r>
            <w:proofErr w:type="gramStart"/>
            <w:r w:rsidRPr="009B4B7B">
              <w:rPr>
                <w:rFonts w:ascii="Calibri" w:hAnsi="Calibri" w:cs="Calibri"/>
                <w:b/>
                <w:bCs/>
                <w:sz w:val="20"/>
                <w:szCs w:val="20"/>
              </w:rPr>
              <w:t>Scientific</w:t>
            </w:r>
            <w:proofErr w:type="gramEnd"/>
            <w:r w:rsidRPr="009B4B7B">
              <w:rPr>
                <w:rFonts w:ascii="Calibri" w:hAnsi="Calibri" w:cs="Calibri"/>
                <w:b/>
                <w:bCs/>
                <w:sz w:val="20"/>
                <w:szCs w:val="20"/>
              </w:rPr>
              <w:t xml:space="preserve"> and Technical</w:t>
            </w:r>
            <w:r w:rsidRPr="009B4B7B">
              <w:rPr>
                <w:rFonts w:ascii="Calibri" w:hAnsi="Calibri" w:cs="Calibri"/>
                <w:sz w:val="20"/>
                <w:szCs w:val="20"/>
              </w:rPr>
              <w:t xml:space="preserve"> is at this stage.</w:t>
            </w:r>
          </w:p>
          <w:p w14:paraId="547B95D8" w14:textId="77777777" w:rsidR="009B4B7B" w:rsidRPr="009B4B7B" w:rsidRDefault="009B4B7B" w:rsidP="00233289">
            <w:pPr>
              <w:pStyle w:val="ListParagraph"/>
              <w:numPr>
                <w:ilvl w:val="0"/>
                <w:numId w:val="4"/>
              </w:numPr>
              <w:jc w:val="both"/>
              <w:rPr>
                <w:rFonts w:ascii="Calibri" w:hAnsi="Calibri" w:cs="Calibri"/>
                <w:sz w:val="20"/>
                <w:szCs w:val="20"/>
              </w:rPr>
            </w:pPr>
            <w:r w:rsidRPr="009B4B7B">
              <w:rPr>
                <w:rFonts w:ascii="Calibri" w:hAnsi="Calibri" w:cs="Calibri"/>
                <w:sz w:val="20"/>
                <w:szCs w:val="20"/>
              </w:rPr>
              <w:t xml:space="preserve">Settling a claim – the </w:t>
            </w:r>
            <w:r w:rsidRPr="009B4B7B">
              <w:rPr>
                <w:rFonts w:ascii="Calibri" w:hAnsi="Calibri" w:cs="Calibri"/>
                <w:b/>
                <w:bCs/>
                <w:sz w:val="20"/>
                <w:szCs w:val="20"/>
              </w:rPr>
              <w:t>Midwifery</w:t>
            </w:r>
            <w:r w:rsidRPr="009B4B7B">
              <w:rPr>
                <w:rFonts w:ascii="Calibri" w:hAnsi="Calibri" w:cs="Calibri"/>
                <w:sz w:val="20"/>
                <w:szCs w:val="20"/>
              </w:rPr>
              <w:t xml:space="preserve"> claim is at the beginning of this stage, and the </w:t>
            </w:r>
            <w:r w:rsidRPr="009B4B7B">
              <w:rPr>
                <w:rFonts w:ascii="Calibri" w:hAnsi="Calibri" w:cs="Calibri"/>
                <w:b/>
                <w:bCs/>
                <w:sz w:val="20"/>
                <w:szCs w:val="20"/>
              </w:rPr>
              <w:t>Nursing</w:t>
            </w:r>
            <w:r w:rsidRPr="009B4B7B">
              <w:rPr>
                <w:rFonts w:ascii="Calibri" w:hAnsi="Calibri" w:cs="Calibri"/>
                <w:sz w:val="20"/>
                <w:szCs w:val="20"/>
              </w:rPr>
              <w:t xml:space="preserve"> and </w:t>
            </w:r>
            <w:r w:rsidRPr="009B4B7B">
              <w:rPr>
                <w:rFonts w:ascii="Calibri" w:hAnsi="Calibri" w:cs="Calibri"/>
                <w:b/>
                <w:bCs/>
                <w:sz w:val="20"/>
                <w:szCs w:val="20"/>
              </w:rPr>
              <w:t>Administration</w:t>
            </w:r>
            <w:r w:rsidRPr="009B4B7B">
              <w:rPr>
                <w:rFonts w:ascii="Calibri" w:hAnsi="Calibri" w:cs="Calibri"/>
                <w:sz w:val="20"/>
                <w:szCs w:val="20"/>
              </w:rPr>
              <w:t xml:space="preserve"> </w:t>
            </w:r>
            <w:r w:rsidRPr="009B4B7B">
              <w:rPr>
                <w:rFonts w:ascii="Calibri" w:hAnsi="Calibri" w:cs="Calibri"/>
                <w:b/>
                <w:bCs/>
                <w:sz w:val="20"/>
                <w:szCs w:val="20"/>
              </w:rPr>
              <w:t xml:space="preserve">and Clerical </w:t>
            </w:r>
            <w:r w:rsidRPr="009B4B7B">
              <w:rPr>
                <w:rFonts w:ascii="Calibri" w:hAnsi="Calibri" w:cs="Calibri"/>
                <w:sz w:val="20"/>
                <w:szCs w:val="20"/>
              </w:rPr>
              <w:t>claims are at this stage.</w:t>
            </w:r>
          </w:p>
          <w:p w14:paraId="24305125" w14:textId="77777777" w:rsidR="009B4B7B" w:rsidRPr="009B4B7B" w:rsidRDefault="009B4B7B" w:rsidP="00233289">
            <w:pPr>
              <w:jc w:val="both"/>
              <w:rPr>
                <w:rFonts w:cs="Calibri"/>
                <w:sz w:val="20"/>
                <w:szCs w:val="20"/>
              </w:rPr>
            </w:pPr>
          </w:p>
          <w:p w14:paraId="6CA5AB77" w14:textId="77777777" w:rsidR="009B4B7B" w:rsidRPr="009B4B7B" w:rsidRDefault="009B4B7B" w:rsidP="00233289">
            <w:pPr>
              <w:jc w:val="both"/>
              <w:rPr>
                <w:rFonts w:cs="Calibri"/>
                <w:sz w:val="20"/>
                <w:szCs w:val="20"/>
              </w:rPr>
            </w:pPr>
            <w:r w:rsidRPr="009B4B7B">
              <w:rPr>
                <w:rFonts w:cs="Calibri"/>
                <w:sz w:val="20"/>
                <w:szCs w:val="20"/>
              </w:rPr>
              <w:t>Assessing the claim involves the DHBs and unions gaining a good understanding of the claimant work and the work of male-dominated potential comparator roles.</w:t>
            </w:r>
          </w:p>
          <w:p w14:paraId="2AAFE8D2" w14:textId="77777777" w:rsidR="009B4B7B" w:rsidRPr="009B4B7B" w:rsidRDefault="009B4B7B" w:rsidP="00233289">
            <w:pPr>
              <w:jc w:val="both"/>
              <w:rPr>
                <w:rFonts w:cs="Calibri"/>
                <w:sz w:val="20"/>
                <w:szCs w:val="20"/>
              </w:rPr>
            </w:pPr>
            <w:r w:rsidRPr="009B4B7B">
              <w:rPr>
                <w:rFonts w:cs="Calibri"/>
                <w:sz w:val="20"/>
                <w:szCs w:val="20"/>
              </w:rPr>
              <w:t>The DHBs and the union together selected a representative sample of the workforce, and they were interviewed using the pay equity assessment tool this included both employees and their supervisors to enable us to learn more about the work they do including their skills, responsibilities, working conditions and demands.</w:t>
            </w:r>
          </w:p>
          <w:p w14:paraId="39838C0B" w14:textId="77777777" w:rsidR="009B4B7B" w:rsidRPr="009B4B7B" w:rsidRDefault="009B4B7B" w:rsidP="00233289">
            <w:pPr>
              <w:jc w:val="both"/>
              <w:rPr>
                <w:rFonts w:cs="Calibri"/>
                <w:sz w:val="20"/>
                <w:szCs w:val="20"/>
              </w:rPr>
            </w:pPr>
            <w:r w:rsidRPr="009B4B7B">
              <w:rPr>
                <w:rFonts w:cs="Calibri"/>
                <w:sz w:val="20"/>
                <w:szCs w:val="20"/>
              </w:rPr>
              <w:t>A comparator is a person who is doing work that may be of a similar value but in a role that is mostly performed by men. We look at what skills, demands and responsibilities are needed for the comparator roles and look at their working conditions to establish if the work is comparable.</w:t>
            </w:r>
          </w:p>
          <w:p w14:paraId="06A04DFA" w14:textId="77777777" w:rsidR="009B4B7B" w:rsidRPr="009B4B7B" w:rsidRDefault="009B4B7B" w:rsidP="00233289">
            <w:pPr>
              <w:jc w:val="both"/>
              <w:rPr>
                <w:rFonts w:cs="Calibri"/>
                <w:sz w:val="20"/>
                <w:szCs w:val="20"/>
              </w:rPr>
            </w:pPr>
            <w:r w:rsidRPr="009B4B7B">
              <w:rPr>
                <w:rFonts w:cs="Calibri"/>
                <w:sz w:val="20"/>
                <w:szCs w:val="20"/>
              </w:rPr>
              <w:t>If the work is comparable, the remuneration of both claimants and comparators is analysed and assessed. The purpose of this is to find out whether the claimant is being paid less than the comparator because of their sex. If there is sex-based undervaluation, the parties will negotiate a settlement.</w:t>
            </w:r>
          </w:p>
          <w:p w14:paraId="4EDC2A57" w14:textId="77777777" w:rsidR="009B4B7B" w:rsidRPr="009B4B7B" w:rsidRDefault="009B4B7B" w:rsidP="00233289">
            <w:pPr>
              <w:jc w:val="both"/>
              <w:rPr>
                <w:rFonts w:cs="Calibri"/>
                <w:sz w:val="20"/>
                <w:szCs w:val="20"/>
              </w:rPr>
            </w:pPr>
          </w:p>
        </w:tc>
      </w:tr>
      <w:tr w:rsidR="009B4B7B" w:rsidRPr="009B4B7B" w14:paraId="39B6BF38" w14:textId="77777777" w:rsidTr="00F65D9D">
        <w:trPr>
          <w:gridAfter w:val="1"/>
          <w:wAfter w:w="9" w:type="pct"/>
        </w:trPr>
        <w:tc>
          <w:tcPr>
            <w:tcW w:w="4991" w:type="pct"/>
            <w:gridSpan w:val="2"/>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64A4145" w14:textId="77777777" w:rsidR="009B4B7B" w:rsidRPr="009B4B7B" w:rsidRDefault="009B4B7B" w:rsidP="009B4B7B">
            <w:pPr>
              <w:jc w:val="center"/>
              <w:rPr>
                <w:rFonts w:cs="Calibri"/>
                <w:sz w:val="20"/>
                <w:szCs w:val="20"/>
              </w:rPr>
            </w:pPr>
            <w:r w:rsidRPr="009B4B7B">
              <w:rPr>
                <w:rFonts w:cs="Calibri"/>
                <w:noProof/>
                <w:sz w:val="20"/>
                <w:szCs w:val="20"/>
              </w:rPr>
              <w:drawing>
                <wp:inline distT="0" distB="0" distL="0" distR="0" wp14:anchorId="5369AC31" wp14:editId="17FFA314">
                  <wp:extent cx="6935638" cy="1880235"/>
                  <wp:effectExtent l="0" t="0" r="0" b="5715"/>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ext&#10;&#10;Description automatically generated"/>
                          <pic:cNvPicPr/>
                        </pic:nvPicPr>
                        <pic:blipFill rotWithShape="1">
                          <a:blip r:embed="rId8"/>
                          <a:srcRect b="8661"/>
                          <a:stretch/>
                        </pic:blipFill>
                        <pic:spPr bwMode="auto">
                          <a:xfrm>
                            <a:off x="0" y="0"/>
                            <a:ext cx="6935638" cy="1880235"/>
                          </a:xfrm>
                          <a:prstGeom prst="rect">
                            <a:avLst/>
                          </a:prstGeom>
                          <a:ln>
                            <a:noFill/>
                          </a:ln>
                          <a:extLst>
                            <a:ext uri="{53640926-AAD7-44D8-BBD7-CCE9431645EC}">
                              <a14:shadowObscured xmlns:a14="http://schemas.microsoft.com/office/drawing/2010/main"/>
                            </a:ext>
                          </a:extLst>
                        </pic:spPr>
                      </pic:pic>
                    </a:graphicData>
                  </a:graphic>
                </wp:inline>
              </w:drawing>
            </w:r>
          </w:p>
        </w:tc>
      </w:tr>
      <w:tr w:rsidR="009B4B7B" w:rsidRPr="009B4B7B" w14:paraId="23794496"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2D2A84D" w14:textId="77777777" w:rsidR="009B4B7B" w:rsidRPr="009B4B7B" w:rsidRDefault="009B4B7B" w:rsidP="00233289">
            <w:pPr>
              <w:jc w:val="both"/>
              <w:rPr>
                <w:rFonts w:cs="Calibri"/>
                <w:sz w:val="20"/>
                <w:szCs w:val="20"/>
              </w:rPr>
            </w:pPr>
          </w:p>
          <w:p w14:paraId="568F6D76" w14:textId="77777777" w:rsidR="009B4B7B" w:rsidRPr="009B4B7B" w:rsidRDefault="009B4B7B" w:rsidP="00233289">
            <w:pPr>
              <w:rPr>
                <w:rFonts w:cs="Calibri"/>
                <w:b/>
                <w:sz w:val="20"/>
                <w:szCs w:val="20"/>
              </w:rPr>
            </w:pPr>
            <w:r w:rsidRPr="009B4B7B">
              <w:rPr>
                <w:rFonts w:cs="Calibri"/>
                <w:b/>
                <w:sz w:val="20"/>
                <w:szCs w:val="20"/>
              </w:rPr>
              <w:t>Why did it take so long to reach an agreed settlement?</w:t>
            </w:r>
          </w:p>
          <w:p w14:paraId="57671963" w14:textId="77777777" w:rsidR="009B4B7B" w:rsidRPr="009B4B7B" w:rsidRDefault="009B4B7B" w:rsidP="00233289">
            <w:pPr>
              <w:rPr>
                <w:rFonts w:cs="Calibri"/>
                <w:b/>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945DCC8" w14:textId="77777777" w:rsidR="009B4B7B" w:rsidRPr="009B4B7B" w:rsidRDefault="009B4B7B" w:rsidP="00233289">
            <w:pPr>
              <w:jc w:val="both"/>
              <w:rPr>
                <w:rFonts w:cs="Calibri"/>
                <w:sz w:val="20"/>
                <w:szCs w:val="20"/>
              </w:rPr>
            </w:pPr>
          </w:p>
          <w:p w14:paraId="7833BB1F" w14:textId="04AACA3E" w:rsidR="009B4B7B" w:rsidRPr="009B4B7B" w:rsidRDefault="009B4B7B" w:rsidP="00233289">
            <w:pPr>
              <w:jc w:val="both"/>
              <w:rPr>
                <w:rFonts w:cs="Calibri"/>
                <w:sz w:val="20"/>
                <w:szCs w:val="20"/>
              </w:rPr>
            </w:pPr>
            <w:r w:rsidRPr="009B4B7B">
              <w:rPr>
                <w:rFonts w:cs="Calibri"/>
                <w:sz w:val="20"/>
                <w:szCs w:val="20"/>
              </w:rPr>
              <w:t xml:space="preserve">This is a complex process that needs to be done well and withstand a high degree of scrutiny and be free of bias. We needed to make sure we got to the right outcome. Our claim is one of the first two pay equity claims to settle in the health sector and is largest settlement to date. As such, many of the tools needed to do this work had to be created from scratch. This work provides a real shortcut for other groups to have a considerably easier path to settlement. This is something that all nurses and HCAs </w:t>
            </w:r>
            <w:r w:rsidR="00F65D9D">
              <w:rPr>
                <w:rFonts w:cs="Calibri"/>
                <w:sz w:val="20"/>
                <w:szCs w:val="20"/>
              </w:rPr>
              <w:t xml:space="preserve">and MHSW </w:t>
            </w:r>
            <w:r w:rsidRPr="009B4B7B">
              <w:rPr>
                <w:rFonts w:cs="Calibri"/>
                <w:sz w:val="20"/>
                <w:szCs w:val="20"/>
              </w:rPr>
              <w:t xml:space="preserve">should be proud of. </w:t>
            </w:r>
          </w:p>
          <w:p w14:paraId="739E85A0" w14:textId="77777777" w:rsidR="009B4B7B" w:rsidRPr="009B4B7B" w:rsidRDefault="009B4B7B" w:rsidP="00233289">
            <w:pPr>
              <w:jc w:val="both"/>
              <w:rPr>
                <w:rFonts w:cs="Calibri"/>
                <w:sz w:val="20"/>
                <w:szCs w:val="20"/>
              </w:rPr>
            </w:pPr>
          </w:p>
        </w:tc>
      </w:tr>
      <w:tr w:rsidR="009B4B7B" w:rsidRPr="009B4B7B" w14:paraId="2B7CE75F"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E48F2E6" w14:textId="77777777" w:rsidR="009B4B7B" w:rsidRPr="009B4B7B" w:rsidRDefault="009B4B7B" w:rsidP="00233289">
            <w:pPr>
              <w:rPr>
                <w:rFonts w:cs="Calibri"/>
                <w:b/>
                <w:sz w:val="20"/>
                <w:szCs w:val="20"/>
              </w:rPr>
            </w:pPr>
          </w:p>
          <w:p w14:paraId="4F9B5B8A" w14:textId="77777777" w:rsidR="009B4B7B" w:rsidRPr="009B4B7B" w:rsidRDefault="009B4B7B" w:rsidP="00233289">
            <w:pPr>
              <w:rPr>
                <w:rFonts w:cs="Calibri"/>
                <w:b/>
                <w:sz w:val="20"/>
                <w:szCs w:val="20"/>
              </w:rPr>
            </w:pPr>
            <w:r w:rsidRPr="009B4B7B">
              <w:rPr>
                <w:rFonts w:cs="Calibri"/>
                <w:b/>
                <w:sz w:val="20"/>
                <w:szCs w:val="20"/>
              </w:rPr>
              <w:t>Who is covered?</w:t>
            </w:r>
          </w:p>
          <w:p w14:paraId="16138BE3" w14:textId="77777777" w:rsidR="009B4B7B" w:rsidRPr="009B4B7B" w:rsidRDefault="009B4B7B" w:rsidP="00233289">
            <w:pPr>
              <w:rPr>
                <w:rFonts w:cs="Calibri"/>
                <w:b/>
                <w:color w:val="434343"/>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6EA3346" w14:textId="77777777" w:rsidR="009B4B7B" w:rsidRPr="009B4B7B" w:rsidRDefault="009B4B7B" w:rsidP="00233289">
            <w:pPr>
              <w:jc w:val="both"/>
              <w:rPr>
                <w:rFonts w:cs="Calibri"/>
                <w:sz w:val="20"/>
                <w:szCs w:val="20"/>
              </w:rPr>
            </w:pPr>
          </w:p>
          <w:p w14:paraId="61BDB38F" w14:textId="03860B75" w:rsidR="009B4B7B" w:rsidRPr="009B4B7B" w:rsidRDefault="009B4B7B" w:rsidP="00233289">
            <w:pPr>
              <w:rPr>
                <w:rFonts w:cs="Calibri"/>
                <w:sz w:val="20"/>
                <w:szCs w:val="20"/>
              </w:rPr>
            </w:pPr>
            <w:r w:rsidRPr="009B4B7B">
              <w:rPr>
                <w:rFonts w:cs="Calibri"/>
                <w:sz w:val="20"/>
                <w:szCs w:val="20"/>
              </w:rPr>
              <w:t xml:space="preserve">Our Nursing Pay Equity Settlement covers the occupational groups set out in the coverage clauses of the PSA DHB </w:t>
            </w:r>
            <w:r w:rsidR="00F65D9D">
              <w:rPr>
                <w:rFonts w:cs="Calibri"/>
                <w:sz w:val="20"/>
                <w:szCs w:val="20"/>
              </w:rPr>
              <w:t xml:space="preserve">and </w:t>
            </w:r>
            <w:r w:rsidR="00F65D9D" w:rsidRPr="009B4B7B">
              <w:rPr>
                <w:rFonts w:cs="Calibri"/>
                <w:sz w:val="20"/>
                <w:szCs w:val="20"/>
              </w:rPr>
              <w:t>NZNO</w:t>
            </w:r>
            <w:r w:rsidR="00F65D9D" w:rsidRPr="009B4B7B">
              <w:rPr>
                <w:rFonts w:cs="Calibri"/>
                <w:sz w:val="20"/>
                <w:szCs w:val="20"/>
              </w:rPr>
              <w:t xml:space="preserve"> </w:t>
            </w:r>
            <w:r w:rsidRPr="009B4B7B">
              <w:rPr>
                <w:rFonts w:cs="Calibri"/>
                <w:sz w:val="20"/>
                <w:szCs w:val="20"/>
              </w:rPr>
              <w:t>MECAs</w:t>
            </w:r>
            <w:r w:rsidR="00F65D9D" w:rsidRPr="009B4B7B">
              <w:rPr>
                <w:rFonts w:cs="Calibri"/>
                <w:sz w:val="20"/>
                <w:szCs w:val="20"/>
              </w:rPr>
              <w:t xml:space="preserve"> </w:t>
            </w:r>
          </w:p>
          <w:p w14:paraId="459E5874" w14:textId="77777777" w:rsidR="009B4B7B" w:rsidRPr="009B4B7B" w:rsidRDefault="009B4B7B" w:rsidP="00233289">
            <w:pPr>
              <w:rPr>
                <w:rFonts w:cs="Calibri"/>
                <w:sz w:val="20"/>
                <w:szCs w:val="20"/>
              </w:rPr>
            </w:pPr>
            <w:r w:rsidRPr="009B4B7B">
              <w:rPr>
                <w:rFonts w:cs="Calibri"/>
                <w:sz w:val="20"/>
                <w:szCs w:val="20"/>
              </w:rPr>
              <w:t>The following positions employed by a DHB are covered by this settlement:  Health Care Assistant, Mental Health Assistant, Enrolled Nurse, Registered Nurse (including those working in Community, Mental Health, and Public Health); Designated Senior Nurse, Nurse Practitioner</w:t>
            </w:r>
          </w:p>
          <w:p w14:paraId="66B43C5F" w14:textId="77777777" w:rsidR="009B4B7B" w:rsidRPr="009B4B7B" w:rsidRDefault="009B4B7B" w:rsidP="00233289">
            <w:pPr>
              <w:jc w:val="both"/>
              <w:rPr>
                <w:rFonts w:cs="Calibri"/>
                <w:sz w:val="20"/>
                <w:szCs w:val="20"/>
              </w:rPr>
            </w:pPr>
          </w:p>
        </w:tc>
      </w:tr>
      <w:tr w:rsidR="009B4B7B" w:rsidRPr="009B4B7B" w14:paraId="6A1E8D62"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1C4FFB3" w14:textId="77777777" w:rsidR="009B4B7B" w:rsidRPr="009B4B7B" w:rsidRDefault="009B4B7B" w:rsidP="00233289">
            <w:pPr>
              <w:rPr>
                <w:rFonts w:cs="Calibri"/>
                <w:b/>
                <w:sz w:val="20"/>
                <w:szCs w:val="20"/>
              </w:rPr>
            </w:pPr>
          </w:p>
          <w:p w14:paraId="2D926E37" w14:textId="77777777" w:rsidR="009B4B7B" w:rsidRPr="009B4B7B" w:rsidRDefault="009B4B7B" w:rsidP="00233289">
            <w:pPr>
              <w:rPr>
                <w:rFonts w:cs="Calibri"/>
                <w:b/>
                <w:sz w:val="20"/>
                <w:szCs w:val="20"/>
              </w:rPr>
            </w:pPr>
            <w:r w:rsidRPr="009B4B7B">
              <w:rPr>
                <w:rFonts w:cs="Calibri"/>
                <w:b/>
                <w:sz w:val="20"/>
                <w:szCs w:val="20"/>
              </w:rPr>
              <w:t>Am I eligible to vote?</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9AF4F1" w14:textId="77777777" w:rsidR="009B4B7B" w:rsidRPr="009B4B7B" w:rsidRDefault="009B4B7B" w:rsidP="00233289">
            <w:pPr>
              <w:rPr>
                <w:rFonts w:cs="Calibri"/>
                <w:sz w:val="20"/>
                <w:szCs w:val="20"/>
              </w:rPr>
            </w:pPr>
          </w:p>
          <w:p w14:paraId="04B3ADE7" w14:textId="77777777" w:rsidR="009B4B7B" w:rsidRPr="009B4B7B" w:rsidRDefault="009B4B7B" w:rsidP="00233289">
            <w:pPr>
              <w:rPr>
                <w:rFonts w:cs="Calibri"/>
                <w:sz w:val="20"/>
                <w:szCs w:val="20"/>
              </w:rPr>
            </w:pPr>
          </w:p>
          <w:p w14:paraId="7C231D0E" w14:textId="77777777" w:rsidR="009B4B7B" w:rsidRPr="009B4B7B" w:rsidRDefault="009B4B7B" w:rsidP="00233289">
            <w:pPr>
              <w:rPr>
                <w:rFonts w:cs="Calibri"/>
                <w:sz w:val="20"/>
                <w:szCs w:val="20"/>
              </w:rPr>
            </w:pPr>
            <w:r w:rsidRPr="009B4B7B">
              <w:rPr>
                <w:rFonts w:cs="Calibri"/>
                <w:sz w:val="20"/>
                <w:szCs w:val="20"/>
              </w:rPr>
              <w:t>You are eligible to vote if you are currently employed by a DHB in one of the roles listed above.</w:t>
            </w:r>
          </w:p>
        </w:tc>
      </w:tr>
      <w:tr w:rsidR="009B4B7B" w:rsidRPr="009B4B7B" w14:paraId="4BBFA09D"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122C6A3" w14:textId="77777777" w:rsidR="009B4B7B" w:rsidRPr="009B4B7B" w:rsidRDefault="009B4B7B" w:rsidP="00233289">
            <w:pPr>
              <w:rPr>
                <w:rFonts w:cs="Calibri"/>
                <w:b/>
                <w:sz w:val="20"/>
                <w:szCs w:val="20"/>
              </w:rPr>
            </w:pPr>
            <w:r w:rsidRPr="009B4B7B">
              <w:rPr>
                <w:rFonts w:cs="Calibri"/>
                <w:b/>
                <w:sz w:val="20"/>
                <w:szCs w:val="20"/>
              </w:rPr>
              <w:t>Are casual and fixed term employees covered by the claim?</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E2B337C" w14:textId="77777777" w:rsidR="009B4B7B" w:rsidRPr="009B4B7B" w:rsidRDefault="009B4B7B" w:rsidP="00233289">
            <w:pPr>
              <w:rPr>
                <w:rFonts w:cs="Calibri"/>
                <w:sz w:val="20"/>
                <w:szCs w:val="20"/>
              </w:rPr>
            </w:pPr>
          </w:p>
          <w:p w14:paraId="7A62CE78" w14:textId="77777777" w:rsidR="009B4B7B" w:rsidRPr="009B4B7B" w:rsidRDefault="009B4B7B" w:rsidP="00233289">
            <w:pPr>
              <w:rPr>
                <w:rFonts w:cs="Calibri"/>
                <w:sz w:val="20"/>
                <w:szCs w:val="20"/>
              </w:rPr>
            </w:pPr>
            <w:r w:rsidRPr="009B4B7B">
              <w:rPr>
                <w:rFonts w:cs="Calibri"/>
                <w:sz w:val="20"/>
                <w:szCs w:val="20"/>
              </w:rPr>
              <w:t>Yes, pay equity claims cover the work of casuals and fixed term employees All employees who perform the work will be covered by the claim.</w:t>
            </w:r>
          </w:p>
          <w:p w14:paraId="3B97DB2A" w14:textId="77777777" w:rsidR="009B4B7B" w:rsidRPr="009B4B7B" w:rsidRDefault="009B4B7B" w:rsidP="00233289">
            <w:pPr>
              <w:rPr>
                <w:rFonts w:cs="Calibri"/>
                <w:sz w:val="20"/>
                <w:szCs w:val="20"/>
              </w:rPr>
            </w:pPr>
          </w:p>
        </w:tc>
      </w:tr>
      <w:tr w:rsidR="009B4B7B" w:rsidRPr="009B4B7B" w14:paraId="7C7F647F"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FC9C687" w14:textId="77777777" w:rsidR="009B4B7B" w:rsidRPr="009B4B7B" w:rsidRDefault="009B4B7B" w:rsidP="00233289">
            <w:pPr>
              <w:rPr>
                <w:rFonts w:cs="Calibri"/>
                <w:b/>
                <w:bCs/>
                <w:sz w:val="20"/>
                <w:szCs w:val="20"/>
              </w:rPr>
            </w:pPr>
          </w:p>
          <w:p w14:paraId="0AD20A74" w14:textId="77777777" w:rsidR="009B4B7B" w:rsidRPr="009B4B7B" w:rsidRDefault="009B4B7B" w:rsidP="00233289">
            <w:pPr>
              <w:rPr>
                <w:rFonts w:cs="Calibri"/>
                <w:b/>
                <w:bCs/>
                <w:sz w:val="20"/>
                <w:szCs w:val="20"/>
              </w:rPr>
            </w:pPr>
            <w:r w:rsidRPr="009B4B7B">
              <w:rPr>
                <w:rFonts w:cs="Calibri"/>
                <w:b/>
                <w:bCs/>
                <w:sz w:val="20"/>
                <w:szCs w:val="20"/>
              </w:rPr>
              <w:t>I’m a Registered Nurse and a Midwife holding dual practicing certificates, which settlement applies to me?</w:t>
            </w:r>
          </w:p>
          <w:p w14:paraId="36E7CB19" w14:textId="77777777" w:rsidR="009B4B7B" w:rsidRPr="009B4B7B" w:rsidRDefault="009B4B7B" w:rsidP="00233289">
            <w:pPr>
              <w:rPr>
                <w:rFonts w:cs="Calibri"/>
                <w:b/>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5675871" w14:textId="77777777" w:rsidR="009B4B7B" w:rsidRPr="009B4B7B" w:rsidRDefault="009B4B7B" w:rsidP="00233289">
            <w:pPr>
              <w:spacing w:after="120"/>
              <w:jc w:val="both"/>
              <w:rPr>
                <w:rFonts w:cs="Calibri"/>
                <w:bCs/>
                <w:sz w:val="20"/>
                <w:szCs w:val="20"/>
              </w:rPr>
            </w:pPr>
          </w:p>
          <w:p w14:paraId="18B8E981" w14:textId="77777777" w:rsidR="009B4B7B" w:rsidRPr="009B4B7B" w:rsidRDefault="009B4B7B" w:rsidP="00233289">
            <w:pPr>
              <w:spacing w:after="120"/>
              <w:jc w:val="both"/>
              <w:rPr>
                <w:rFonts w:cs="Calibri"/>
                <w:bCs/>
                <w:sz w:val="20"/>
                <w:szCs w:val="20"/>
              </w:rPr>
            </w:pPr>
            <w:r w:rsidRPr="009B4B7B">
              <w:rPr>
                <w:rFonts w:cs="Calibri"/>
                <w:bCs/>
                <w:sz w:val="20"/>
                <w:szCs w:val="20"/>
              </w:rPr>
              <w:t xml:space="preserve">It is the role, rather than the qualifications you hold that determines whether you are covered by the settlement. If you hold dual practicing </w:t>
            </w:r>
            <w:proofErr w:type="gramStart"/>
            <w:r w:rsidRPr="009B4B7B">
              <w:rPr>
                <w:rFonts w:cs="Calibri"/>
                <w:bCs/>
                <w:sz w:val="20"/>
                <w:szCs w:val="20"/>
              </w:rPr>
              <w:t>certificates</w:t>
            </w:r>
            <w:proofErr w:type="gramEnd"/>
            <w:r w:rsidRPr="009B4B7B">
              <w:rPr>
                <w:rFonts w:cs="Calibri"/>
                <w:bCs/>
                <w:sz w:val="20"/>
                <w:szCs w:val="20"/>
              </w:rPr>
              <w:t xml:space="preserve"> you will be covered by the settlement which covers the role you are performing.  </w:t>
            </w:r>
          </w:p>
          <w:p w14:paraId="08E2B67C" w14:textId="77777777" w:rsidR="009B4B7B" w:rsidRPr="009B4B7B" w:rsidRDefault="009B4B7B" w:rsidP="00233289">
            <w:pPr>
              <w:spacing w:after="120"/>
              <w:jc w:val="both"/>
              <w:rPr>
                <w:rFonts w:cs="Calibri"/>
                <w:bCs/>
                <w:sz w:val="20"/>
                <w:szCs w:val="20"/>
              </w:rPr>
            </w:pPr>
          </w:p>
        </w:tc>
      </w:tr>
      <w:tr w:rsidR="009B4B7B" w:rsidRPr="009B4B7B" w14:paraId="61A92787"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3F57D8" w14:textId="77777777" w:rsidR="009B4B7B" w:rsidRPr="009B4B7B" w:rsidRDefault="009B4B7B" w:rsidP="00233289">
            <w:pPr>
              <w:rPr>
                <w:rFonts w:cs="Calibri"/>
                <w:b/>
                <w:sz w:val="20"/>
                <w:szCs w:val="20"/>
              </w:rPr>
            </w:pPr>
          </w:p>
          <w:p w14:paraId="1F19CF1D" w14:textId="77777777" w:rsidR="009B4B7B" w:rsidRPr="009B4B7B" w:rsidRDefault="009B4B7B" w:rsidP="00233289">
            <w:pPr>
              <w:rPr>
                <w:rFonts w:cs="Calibri"/>
                <w:b/>
                <w:sz w:val="20"/>
                <w:szCs w:val="20"/>
              </w:rPr>
            </w:pPr>
            <w:r w:rsidRPr="009B4B7B">
              <w:rPr>
                <w:rFonts w:cs="Calibri"/>
                <w:b/>
                <w:sz w:val="20"/>
                <w:szCs w:val="20"/>
              </w:rPr>
              <w:t>What male-dominated professions were used as comparators?</w:t>
            </w:r>
          </w:p>
          <w:p w14:paraId="3C2B569D" w14:textId="77777777" w:rsidR="009B4B7B" w:rsidRPr="009B4B7B" w:rsidRDefault="009B4B7B" w:rsidP="00233289">
            <w:pPr>
              <w:rPr>
                <w:rFonts w:cs="Calibri"/>
                <w:b/>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5A69F06" w14:textId="77777777" w:rsidR="009B4B7B" w:rsidRPr="009B4B7B" w:rsidRDefault="009B4B7B" w:rsidP="00233289">
            <w:pPr>
              <w:spacing w:after="120"/>
              <w:rPr>
                <w:rFonts w:cs="Calibri"/>
                <w:bCs/>
                <w:sz w:val="20"/>
                <w:szCs w:val="20"/>
              </w:rPr>
            </w:pPr>
          </w:p>
          <w:p w14:paraId="442F88CA" w14:textId="77777777" w:rsidR="009B4B7B" w:rsidRPr="009B4B7B" w:rsidRDefault="009B4B7B" w:rsidP="00233289">
            <w:pPr>
              <w:spacing w:after="120"/>
              <w:rPr>
                <w:rFonts w:cs="Calibri"/>
                <w:bCs/>
                <w:sz w:val="20"/>
                <w:szCs w:val="20"/>
              </w:rPr>
            </w:pPr>
            <w:r w:rsidRPr="009B4B7B">
              <w:rPr>
                <w:rFonts w:cs="Calibri"/>
                <w:bCs/>
                <w:sz w:val="20"/>
                <w:szCs w:val="20"/>
              </w:rPr>
              <w:t>The comparators that were used for the nursing pay equity process were:</w:t>
            </w:r>
          </w:p>
          <w:p w14:paraId="6E9F7E87"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 xml:space="preserve">Customs Officers </w:t>
            </w:r>
          </w:p>
          <w:p w14:paraId="77C5F661"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Mechanical Engineers</w:t>
            </w:r>
          </w:p>
          <w:p w14:paraId="0089D277"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Fisheries Officers</w:t>
            </w:r>
          </w:p>
          <w:p w14:paraId="425BD002"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Corrections Officers</w:t>
            </w:r>
          </w:p>
          <w:p w14:paraId="5747C015"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 xml:space="preserve">Detectives </w:t>
            </w:r>
          </w:p>
          <w:p w14:paraId="76A0C562"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Detective Sergeants</w:t>
            </w:r>
          </w:p>
          <w:p w14:paraId="10C1460D" w14:textId="77777777" w:rsidR="009B4B7B" w:rsidRPr="009B4B7B" w:rsidRDefault="009B4B7B" w:rsidP="00233289">
            <w:pPr>
              <w:pStyle w:val="ListParagraph"/>
              <w:numPr>
                <w:ilvl w:val="0"/>
                <w:numId w:val="2"/>
              </w:numPr>
              <w:rPr>
                <w:rFonts w:ascii="Calibri" w:hAnsi="Calibri" w:cs="Calibri"/>
                <w:sz w:val="20"/>
                <w:szCs w:val="20"/>
              </w:rPr>
            </w:pPr>
            <w:r w:rsidRPr="009B4B7B">
              <w:rPr>
                <w:rFonts w:ascii="Calibri" w:hAnsi="Calibri" w:cs="Calibri"/>
                <w:sz w:val="20"/>
                <w:szCs w:val="20"/>
              </w:rPr>
              <w:t>Detective Senior Sergeants</w:t>
            </w:r>
          </w:p>
        </w:tc>
      </w:tr>
      <w:tr w:rsidR="009B4B7B" w:rsidRPr="009B4B7B" w14:paraId="43281913"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15E58D6" w14:textId="77777777" w:rsidR="009B4B7B" w:rsidRPr="009B4B7B" w:rsidRDefault="009B4B7B" w:rsidP="00233289">
            <w:pPr>
              <w:rPr>
                <w:rFonts w:cs="Calibri"/>
                <w:b/>
                <w:sz w:val="20"/>
                <w:szCs w:val="20"/>
              </w:rPr>
            </w:pPr>
            <w:bookmarkStart w:id="0" w:name="_Hlk100134463"/>
          </w:p>
          <w:p w14:paraId="0B82C7B6" w14:textId="77777777" w:rsidR="009B4B7B" w:rsidRPr="009B4B7B" w:rsidRDefault="009B4B7B" w:rsidP="00233289">
            <w:pPr>
              <w:rPr>
                <w:rFonts w:cs="Calibri"/>
                <w:b/>
                <w:sz w:val="20"/>
                <w:szCs w:val="20"/>
              </w:rPr>
            </w:pPr>
            <w:r w:rsidRPr="009B4B7B">
              <w:rPr>
                <w:rFonts w:cs="Calibri"/>
                <w:b/>
                <w:sz w:val="20"/>
                <w:szCs w:val="20"/>
              </w:rPr>
              <w:t>Why is there more than one comparator?</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3344CE9" w14:textId="77777777" w:rsidR="009B4B7B" w:rsidRPr="009B4B7B" w:rsidRDefault="009B4B7B" w:rsidP="00233289">
            <w:pPr>
              <w:jc w:val="both"/>
              <w:rPr>
                <w:rFonts w:cs="Calibri"/>
                <w:sz w:val="20"/>
                <w:szCs w:val="20"/>
              </w:rPr>
            </w:pPr>
          </w:p>
          <w:p w14:paraId="78775E88" w14:textId="77777777" w:rsidR="009B4B7B" w:rsidRPr="009B4B7B" w:rsidRDefault="009B4B7B" w:rsidP="00233289">
            <w:pPr>
              <w:jc w:val="both"/>
              <w:rPr>
                <w:rFonts w:cs="Calibri"/>
                <w:sz w:val="20"/>
                <w:szCs w:val="20"/>
              </w:rPr>
            </w:pPr>
            <w:r w:rsidRPr="009B4B7B">
              <w:rPr>
                <w:rFonts w:cs="Calibri"/>
                <w:sz w:val="20"/>
                <w:szCs w:val="20"/>
              </w:rPr>
              <w:t>Having multiple comparators gave us useful reference points for our understanding of what equal pay should look like, and ensured we had a full environmental scan of male roles. No single comparator provided all the information we needed.</w:t>
            </w:r>
          </w:p>
          <w:p w14:paraId="16728A16" w14:textId="77777777" w:rsidR="009B4B7B" w:rsidRPr="009B4B7B" w:rsidRDefault="009B4B7B" w:rsidP="00233289">
            <w:pPr>
              <w:rPr>
                <w:rFonts w:cs="Calibri"/>
                <w:sz w:val="20"/>
                <w:szCs w:val="20"/>
              </w:rPr>
            </w:pPr>
          </w:p>
        </w:tc>
      </w:tr>
      <w:bookmarkEnd w:id="0"/>
      <w:tr w:rsidR="009B4B7B" w:rsidRPr="009B4B7B" w14:paraId="46CB12B2"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56D8BF" w14:textId="77777777" w:rsidR="009B4B7B" w:rsidRPr="009B4B7B" w:rsidRDefault="009B4B7B" w:rsidP="00233289">
            <w:pPr>
              <w:rPr>
                <w:rFonts w:cs="Calibri"/>
                <w:b/>
                <w:sz w:val="20"/>
                <w:szCs w:val="20"/>
              </w:rPr>
            </w:pPr>
          </w:p>
          <w:p w14:paraId="42C61857" w14:textId="77777777" w:rsidR="009B4B7B" w:rsidRPr="009B4B7B" w:rsidRDefault="009B4B7B" w:rsidP="00233289">
            <w:pPr>
              <w:rPr>
                <w:rFonts w:cs="Calibri"/>
                <w:b/>
                <w:sz w:val="20"/>
                <w:szCs w:val="20"/>
              </w:rPr>
            </w:pPr>
            <w:r w:rsidRPr="009B4B7B">
              <w:rPr>
                <w:rFonts w:cs="Calibri"/>
                <w:b/>
                <w:sz w:val="20"/>
                <w:szCs w:val="20"/>
              </w:rPr>
              <w:t>Why and how were these comparators chosen?</w:t>
            </w:r>
          </w:p>
          <w:p w14:paraId="44A08C4F" w14:textId="77777777" w:rsidR="009B4B7B" w:rsidRPr="009B4B7B" w:rsidRDefault="009B4B7B" w:rsidP="00233289">
            <w:pPr>
              <w:widowControl w:val="0"/>
              <w:spacing w:before="240" w:after="240"/>
              <w:rPr>
                <w:rFonts w:cs="Calibri"/>
                <w:b/>
                <w:color w:val="434343"/>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E339035" w14:textId="77777777" w:rsidR="009B4B7B" w:rsidRPr="009B4B7B" w:rsidRDefault="009B4B7B" w:rsidP="00233289">
            <w:pPr>
              <w:jc w:val="both"/>
              <w:rPr>
                <w:rFonts w:cs="Calibri"/>
                <w:sz w:val="20"/>
                <w:szCs w:val="20"/>
              </w:rPr>
            </w:pPr>
          </w:p>
          <w:p w14:paraId="7B303577" w14:textId="77777777" w:rsidR="009B4B7B" w:rsidRPr="009B4B7B" w:rsidRDefault="009B4B7B" w:rsidP="00233289">
            <w:pPr>
              <w:jc w:val="both"/>
              <w:rPr>
                <w:rFonts w:cs="Calibri"/>
                <w:sz w:val="20"/>
                <w:szCs w:val="20"/>
              </w:rPr>
            </w:pPr>
            <w:r w:rsidRPr="009B4B7B">
              <w:rPr>
                <w:rFonts w:cs="Calibri"/>
                <w:sz w:val="20"/>
                <w:szCs w:val="20"/>
              </w:rPr>
              <w:t xml:space="preserve">The search for comparators went wide and included male dominated occupations in the private sector. However, the process meant employers had to participate in the Pay Equity interview process and be willing to provide a high level of detail on the pay and conditions of their employees. In all cases the private sector employers declined to participate. The public sector was generally more forthcoming with the release of job holders for the interview process. </w:t>
            </w:r>
          </w:p>
          <w:p w14:paraId="03800BDF" w14:textId="77777777" w:rsidR="009B4B7B" w:rsidRPr="009B4B7B" w:rsidRDefault="009B4B7B" w:rsidP="00233289">
            <w:pPr>
              <w:jc w:val="both"/>
              <w:rPr>
                <w:rFonts w:cs="Calibri"/>
                <w:sz w:val="20"/>
                <w:szCs w:val="20"/>
              </w:rPr>
            </w:pPr>
            <w:r w:rsidRPr="009B4B7B">
              <w:rPr>
                <w:rFonts w:cs="Calibri"/>
                <w:sz w:val="20"/>
                <w:szCs w:val="20"/>
              </w:rPr>
              <w:t xml:space="preserve">Once we interviewed job </w:t>
            </w:r>
            <w:proofErr w:type="gramStart"/>
            <w:r w:rsidRPr="009B4B7B">
              <w:rPr>
                <w:rFonts w:cs="Calibri"/>
                <w:sz w:val="20"/>
                <w:szCs w:val="20"/>
              </w:rPr>
              <w:t>holders</w:t>
            </w:r>
            <w:proofErr w:type="gramEnd"/>
            <w:r w:rsidRPr="009B4B7B">
              <w:rPr>
                <w:rFonts w:cs="Calibri"/>
                <w:sz w:val="20"/>
                <w:szCs w:val="20"/>
              </w:rPr>
              <w:t xml:space="preserve"> we applied an agreed criteria to determine suitable comparators as follows:</w:t>
            </w:r>
          </w:p>
          <w:p w14:paraId="62542461" w14:textId="77777777" w:rsidR="009B4B7B" w:rsidRPr="009B4B7B" w:rsidRDefault="009B4B7B" w:rsidP="00233289">
            <w:pPr>
              <w:pStyle w:val="ListParagraph"/>
              <w:numPr>
                <w:ilvl w:val="0"/>
                <w:numId w:val="3"/>
              </w:numPr>
              <w:jc w:val="both"/>
              <w:rPr>
                <w:rFonts w:ascii="Calibri" w:hAnsi="Calibri" w:cs="Calibri"/>
                <w:sz w:val="20"/>
                <w:szCs w:val="20"/>
              </w:rPr>
            </w:pPr>
            <w:r w:rsidRPr="009B4B7B">
              <w:rPr>
                <w:rFonts w:ascii="Calibri" w:hAnsi="Calibri" w:cs="Calibri"/>
                <w:sz w:val="20"/>
                <w:szCs w:val="20"/>
              </w:rPr>
              <w:t xml:space="preserve">A comparator occupation is or has been historically </w:t>
            </w:r>
            <w:proofErr w:type="gramStart"/>
            <w:r w:rsidRPr="009B4B7B">
              <w:rPr>
                <w:rFonts w:ascii="Calibri" w:hAnsi="Calibri" w:cs="Calibri"/>
                <w:sz w:val="20"/>
                <w:szCs w:val="20"/>
              </w:rPr>
              <w:t>male-dominated</w:t>
            </w:r>
            <w:proofErr w:type="gramEnd"/>
            <w:r w:rsidRPr="009B4B7B">
              <w:rPr>
                <w:rFonts w:ascii="Calibri" w:hAnsi="Calibri" w:cs="Calibri"/>
                <w:sz w:val="20"/>
                <w:szCs w:val="20"/>
              </w:rPr>
              <w:t>.</w:t>
            </w:r>
          </w:p>
          <w:p w14:paraId="51048A2F" w14:textId="77777777" w:rsidR="009B4B7B" w:rsidRPr="009B4B7B" w:rsidRDefault="009B4B7B" w:rsidP="00233289">
            <w:pPr>
              <w:pStyle w:val="ListParagraph"/>
              <w:numPr>
                <w:ilvl w:val="0"/>
                <w:numId w:val="3"/>
              </w:numPr>
              <w:jc w:val="both"/>
              <w:rPr>
                <w:rFonts w:ascii="Calibri" w:hAnsi="Calibri" w:cs="Calibri"/>
                <w:sz w:val="20"/>
                <w:szCs w:val="20"/>
              </w:rPr>
            </w:pPr>
            <w:r w:rsidRPr="009B4B7B">
              <w:rPr>
                <w:rFonts w:ascii="Calibri" w:hAnsi="Calibri" w:cs="Calibri"/>
                <w:sz w:val="20"/>
                <w:szCs w:val="20"/>
              </w:rPr>
              <w:t xml:space="preserve">There is a reasonable sample size available for assessment. </w:t>
            </w:r>
          </w:p>
          <w:p w14:paraId="36360AF6" w14:textId="77777777" w:rsidR="009B4B7B" w:rsidRPr="009B4B7B" w:rsidRDefault="009B4B7B" w:rsidP="00233289">
            <w:pPr>
              <w:pStyle w:val="ListParagraph"/>
              <w:numPr>
                <w:ilvl w:val="0"/>
                <w:numId w:val="3"/>
              </w:numPr>
              <w:jc w:val="both"/>
              <w:rPr>
                <w:rFonts w:ascii="Calibri" w:hAnsi="Calibri" w:cs="Calibri"/>
                <w:sz w:val="20"/>
                <w:szCs w:val="20"/>
              </w:rPr>
            </w:pPr>
            <w:r w:rsidRPr="009B4B7B">
              <w:rPr>
                <w:rFonts w:ascii="Calibri" w:hAnsi="Calibri" w:cs="Calibri"/>
                <w:sz w:val="20"/>
                <w:szCs w:val="20"/>
              </w:rPr>
              <w:t xml:space="preserve">The necessary work and remuneration information is </w:t>
            </w:r>
            <w:proofErr w:type="gramStart"/>
            <w:r w:rsidRPr="009B4B7B">
              <w:rPr>
                <w:rFonts w:ascii="Calibri" w:hAnsi="Calibri" w:cs="Calibri"/>
                <w:sz w:val="20"/>
                <w:szCs w:val="20"/>
              </w:rPr>
              <w:t>accessible</w:t>
            </w:r>
            <w:proofErr w:type="gramEnd"/>
            <w:r w:rsidRPr="009B4B7B">
              <w:rPr>
                <w:rFonts w:ascii="Calibri" w:hAnsi="Calibri" w:cs="Calibri"/>
                <w:sz w:val="20"/>
                <w:szCs w:val="20"/>
              </w:rPr>
              <w:t xml:space="preserve"> and roles are covered by a collective agreement.</w:t>
            </w:r>
          </w:p>
          <w:p w14:paraId="524F49B2" w14:textId="77777777" w:rsidR="009B4B7B" w:rsidRPr="009B4B7B" w:rsidRDefault="009B4B7B" w:rsidP="00233289">
            <w:pPr>
              <w:pStyle w:val="ListParagraph"/>
              <w:numPr>
                <w:ilvl w:val="0"/>
                <w:numId w:val="3"/>
              </w:numPr>
              <w:jc w:val="both"/>
              <w:rPr>
                <w:rFonts w:ascii="Calibri" w:hAnsi="Calibri" w:cs="Calibri"/>
                <w:color w:val="434343"/>
                <w:sz w:val="20"/>
                <w:szCs w:val="20"/>
              </w:rPr>
            </w:pPr>
            <w:r w:rsidRPr="009B4B7B">
              <w:rPr>
                <w:rFonts w:ascii="Calibri" w:hAnsi="Calibri" w:cs="Calibri"/>
                <w:sz w:val="20"/>
                <w:szCs w:val="20"/>
              </w:rPr>
              <w:t xml:space="preserve">Ideally the role has a similar skill level and/or qualifications, and similar entry level criteria. </w:t>
            </w:r>
          </w:p>
        </w:tc>
      </w:tr>
      <w:tr w:rsidR="009B4B7B" w:rsidRPr="009B4B7B" w14:paraId="4F87480D"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799191E" w14:textId="77777777" w:rsidR="009B4B7B" w:rsidRPr="009B4B7B" w:rsidRDefault="009B4B7B" w:rsidP="00233289">
            <w:pPr>
              <w:rPr>
                <w:rFonts w:cs="Calibri"/>
                <w:b/>
                <w:sz w:val="20"/>
                <w:szCs w:val="20"/>
              </w:rPr>
            </w:pPr>
            <w:bookmarkStart w:id="1" w:name="_Hlk100135007"/>
          </w:p>
          <w:p w14:paraId="476587AA" w14:textId="77777777" w:rsidR="009B4B7B" w:rsidRPr="009B4B7B" w:rsidRDefault="009B4B7B" w:rsidP="00233289">
            <w:pPr>
              <w:rPr>
                <w:rFonts w:cs="Calibri"/>
                <w:b/>
                <w:color w:val="434343"/>
                <w:sz w:val="20"/>
                <w:szCs w:val="20"/>
              </w:rPr>
            </w:pPr>
            <w:r w:rsidRPr="009B4B7B">
              <w:rPr>
                <w:rFonts w:cs="Calibri"/>
                <w:b/>
                <w:sz w:val="20"/>
                <w:szCs w:val="20"/>
              </w:rPr>
              <w:t>Will there be the opportunity to further increase pay rates for these roles?</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D1250AA" w14:textId="77777777" w:rsidR="009B4B7B" w:rsidRPr="009B4B7B" w:rsidRDefault="009B4B7B" w:rsidP="00233289">
            <w:pPr>
              <w:jc w:val="both"/>
              <w:rPr>
                <w:rFonts w:cs="Calibri"/>
                <w:sz w:val="20"/>
                <w:szCs w:val="20"/>
              </w:rPr>
            </w:pPr>
          </w:p>
          <w:p w14:paraId="62AD3D4F" w14:textId="77777777" w:rsidR="009B4B7B" w:rsidRPr="009B4B7B" w:rsidRDefault="009B4B7B" w:rsidP="00233289">
            <w:pPr>
              <w:jc w:val="both"/>
              <w:rPr>
                <w:rFonts w:cs="Calibri"/>
                <w:sz w:val="20"/>
                <w:szCs w:val="20"/>
              </w:rPr>
            </w:pPr>
            <w:r w:rsidRPr="009B4B7B">
              <w:rPr>
                <w:rFonts w:cs="Calibri"/>
                <w:sz w:val="20"/>
                <w:szCs w:val="20"/>
              </w:rPr>
              <w:t xml:space="preserve">The Rest of New Zealand and Auckland Region PSA/DHB Nursing MECA expires later this year and members may claim a pay increase through the MECA negotiation process as we usually do. This is scheduled to begin later in 2022. </w:t>
            </w:r>
          </w:p>
          <w:p w14:paraId="2B15D857" w14:textId="77777777" w:rsidR="009B4B7B" w:rsidRPr="009B4B7B" w:rsidRDefault="009B4B7B" w:rsidP="00233289">
            <w:pPr>
              <w:jc w:val="both"/>
              <w:rPr>
                <w:rFonts w:cs="Calibri"/>
                <w:sz w:val="20"/>
                <w:szCs w:val="20"/>
              </w:rPr>
            </w:pPr>
          </w:p>
          <w:p w14:paraId="001956E1" w14:textId="77777777" w:rsidR="009B4B7B" w:rsidRPr="009B4B7B" w:rsidRDefault="009B4B7B" w:rsidP="00233289">
            <w:pPr>
              <w:jc w:val="both"/>
              <w:rPr>
                <w:rFonts w:cs="Calibri"/>
                <w:sz w:val="20"/>
                <w:szCs w:val="20"/>
              </w:rPr>
            </w:pPr>
            <w:r w:rsidRPr="009B4B7B">
              <w:rPr>
                <w:rFonts w:cs="Calibri"/>
                <w:sz w:val="20"/>
                <w:szCs w:val="20"/>
              </w:rPr>
              <w:t>It is also understood that the pay rates for the comparator groups may have increased since the data was collected.  The Pay Equity Terms of Settlement provide for a review of the Pay Equity rates to ensure Pay Equity is maintained. This is required by law.</w:t>
            </w:r>
          </w:p>
          <w:p w14:paraId="67269DF9" w14:textId="77777777" w:rsidR="009B4B7B" w:rsidRPr="009B4B7B" w:rsidRDefault="009B4B7B" w:rsidP="00233289">
            <w:pPr>
              <w:rPr>
                <w:rFonts w:cs="Calibri"/>
                <w:sz w:val="20"/>
                <w:szCs w:val="20"/>
              </w:rPr>
            </w:pPr>
          </w:p>
        </w:tc>
      </w:tr>
      <w:bookmarkEnd w:id="1"/>
      <w:tr w:rsidR="009B4B7B" w:rsidRPr="009B4B7B" w14:paraId="7DD9C49A"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3E40619" w14:textId="77777777" w:rsidR="009B4B7B" w:rsidRPr="009B4B7B" w:rsidRDefault="009B4B7B" w:rsidP="00233289">
            <w:pPr>
              <w:rPr>
                <w:rFonts w:cs="Calibri"/>
                <w:b/>
                <w:sz w:val="20"/>
                <w:szCs w:val="20"/>
              </w:rPr>
            </w:pPr>
          </w:p>
          <w:p w14:paraId="2DCAABB9" w14:textId="77777777" w:rsidR="009B4B7B" w:rsidRPr="009B4B7B" w:rsidRDefault="009B4B7B" w:rsidP="00233289">
            <w:pPr>
              <w:rPr>
                <w:rFonts w:cs="Calibri"/>
                <w:b/>
                <w:color w:val="434343"/>
                <w:sz w:val="20"/>
                <w:szCs w:val="20"/>
              </w:rPr>
            </w:pPr>
            <w:r w:rsidRPr="009B4B7B">
              <w:rPr>
                <w:rFonts w:cs="Calibri"/>
                <w:b/>
                <w:sz w:val="20"/>
                <w:szCs w:val="20"/>
              </w:rPr>
              <w:t>What happens if the outcome is not ratified by employees covered by the settlement?</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32AAC5A" w14:textId="77777777" w:rsidR="009B4B7B" w:rsidRPr="009B4B7B" w:rsidRDefault="009B4B7B" w:rsidP="00233289">
            <w:pPr>
              <w:rPr>
                <w:rFonts w:cs="Calibri"/>
                <w:sz w:val="20"/>
                <w:szCs w:val="20"/>
              </w:rPr>
            </w:pPr>
          </w:p>
          <w:p w14:paraId="2722D1DD" w14:textId="77777777" w:rsidR="009B4B7B" w:rsidRPr="009B4B7B" w:rsidRDefault="009B4B7B" w:rsidP="00233289">
            <w:pPr>
              <w:rPr>
                <w:rFonts w:cs="Calibri"/>
                <w:color w:val="434343"/>
                <w:sz w:val="20"/>
                <w:szCs w:val="20"/>
              </w:rPr>
            </w:pPr>
            <w:r w:rsidRPr="009B4B7B">
              <w:rPr>
                <w:rFonts w:cs="Calibri"/>
                <w:sz w:val="20"/>
                <w:szCs w:val="20"/>
              </w:rPr>
              <w:t xml:space="preserve">The settlement will not apply, and we will make an application to the Employment Relations Authority to consider the evidence and </w:t>
            </w:r>
            <w:proofErr w:type="gramStart"/>
            <w:r w:rsidRPr="009B4B7B">
              <w:rPr>
                <w:rFonts w:cs="Calibri"/>
                <w:sz w:val="20"/>
                <w:szCs w:val="20"/>
              </w:rPr>
              <w:t>make a determination</w:t>
            </w:r>
            <w:proofErr w:type="gramEnd"/>
            <w:r w:rsidRPr="009B4B7B">
              <w:rPr>
                <w:rFonts w:cs="Calibri"/>
                <w:sz w:val="20"/>
                <w:szCs w:val="20"/>
              </w:rPr>
              <w:t xml:space="preserve"> which will be binding on all parties. </w:t>
            </w:r>
          </w:p>
        </w:tc>
      </w:tr>
      <w:tr w:rsidR="009B4B7B" w:rsidRPr="009B4B7B" w14:paraId="59F1C767"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58466D" w14:textId="77777777" w:rsidR="009B4B7B" w:rsidRPr="009B4B7B" w:rsidRDefault="009B4B7B" w:rsidP="00233289">
            <w:pPr>
              <w:rPr>
                <w:rFonts w:cs="Calibri"/>
                <w:b/>
                <w:sz w:val="20"/>
                <w:szCs w:val="20"/>
              </w:rPr>
            </w:pPr>
          </w:p>
          <w:p w14:paraId="23928E74" w14:textId="77777777" w:rsidR="009B4B7B" w:rsidRPr="009B4B7B" w:rsidRDefault="009B4B7B" w:rsidP="00233289">
            <w:pPr>
              <w:rPr>
                <w:rFonts w:cs="Calibri"/>
                <w:b/>
                <w:sz w:val="20"/>
                <w:szCs w:val="20"/>
              </w:rPr>
            </w:pPr>
            <w:r w:rsidRPr="009B4B7B">
              <w:rPr>
                <w:rFonts w:cs="Calibri"/>
                <w:b/>
                <w:sz w:val="20"/>
                <w:szCs w:val="20"/>
              </w:rPr>
              <w:t>When will the full outcome of the vote be known?</w:t>
            </w:r>
          </w:p>
          <w:p w14:paraId="486FBD39" w14:textId="77777777" w:rsidR="009B4B7B" w:rsidRPr="009B4B7B" w:rsidRDefault="009B4B7B" w:rsidP="00233289">
            <w:pPr>
              <w:rPr>
                <w:rFonts w:cs="Calibri"/>
                <w:b/>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1BB1FAF" w14:textId="77777777" w:rsidR="009B4B7B" w:rsidRPr="009B4B7B" w:rsidRDefault="009B4B7B" w:rsidP="00233289">
            <w:pPr>
              <w:rPr>
                <w:rFonts w:cs="Calibri"/>
                <w:sz w:val="20"/>
                <w:szCs w:val="20"/>
              </w:rPr>
            </w:pPr>
          </w:p>
          <w:p w14:paraId="02BB263D" w14:textId="77777777" w:rsidR="009B4B7B" w:rsidRPr="009B4B7B" w:rsidRDefault="009B4B7B" w:rsidP="00233289">
            <w:pPr>
              <w:rPr>
                <w:rFonts w:cs="Calibri"/>
                <w:sz w:val="20"/>
                <w:szCs w:val="20"/>
              </w:rPr>
            </w:pPr>
            <w:r w:rsidRPr="009B4B7B">
              <w:rPr>
                <w:rFonts w:cs="Calibri"/>
                <w:sz w:val="20"/>
                <w:szCs w:val="20"/>
              </w:rPr>
              <w:t>Workers will be sent their ballots from midday 20 April (this process will take a few hours to complete). The ballot will run until midday 29 April and the results made public in the afternoon of the 29</w:t>
            </w:r>
            <w:r w:rsidRPr="009B4B7B">
              <w:rPr>
                <w:rFonts w:cs="Calibri"/>
                <w:sz w:val="20"/>
                <w:szCs w:val="20"/>
                <w:vertAlign w:val="superscript"/>
              </w:rPr>
              <w:t>th</w:t>
            </w:r>
            <w:r w:rsidRPr="009B4B7B">
              <w:rPr>
                <w:rFonts w:cs="Calibri"/>
                <w:sz w:val="20"/>
                <w:szCs w:val="20"/>
              </w:rPr>
              <w:t>.</w:t>
            </w:r>
          </w:p>
          <w:p w14:paraId="60B6A556" w14:textId="77777777" w:rsidR="009B4B7B" w:rsidRPr="009B4B7B" w:rsidRDefault="009B4B7B" w:rsidP="00233289">
            <w:pPr>
              <w:rPr>
                <w:rFonts w:cs="Calibri"/>
                <w:sz w:val="20"/>
                <w:szCs w:val="20"/>
              </w:rPr>
            </w:pPr>
          </w:p>
        </w:tc>
      </w:tr>
      <w:tr w:rsidR="009B4B7B" w:rsidRPr="009B4B7B" w14:paraId="21942DF1"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B7B9396" w14:textId="77777777" w:rsidR="009B4B7B" w:rsidRPr="009B4B7B" w:rsidRDefault="009B4B7B" w:rsidP="00233289">
            <w:pPr>
              <w:rPr>
                <w:rFonts w:cs="Calibri"/>
                <w:b/>
                <w:sz w:val="20"/>
                <w:szCs w:val="20"/>
              </w:rPr>
            </w:pPr>
          </w:p>
          <w:p w14:paraId="3ED99AD0" w14:textId="77777777" w:rsidR="009B4B7B" w:rsidRPr="009B4B7B" w:rsidRDefault="009B4B7B" w:rsidP="00233289">
            <w:pPr>
              <w:rPr>
                <w:rFonts w:cs="Calibri"/>
                <w:b/>
                <w:sz w:val="20"/>
                <w:szCs w:val="20"/>
              </w:rPr>
            </w:pPr>
            <w:r w:rsidRPr="009B4B7B">
              <w:rPr>
                <w:rFonts w:cs="Calibri"/>
                <w:b/>
                <w:sz w:val="20"/>
                <w:szCs w:val="20"/>
              </w:rPr>
              <w:t>What are the percentage increases?</w:t>
            </w:r>
          </w:p>
          <w:p w14:paraId="3D14F5AE" w14:textId="77777777" w:rsidR="009B4B7B" w:rsidRPr="009B4B7B" w:rsidRDefault="009B4B7B" w:rsidP="00233289">
            <w:pPr>
              <w:widowControl w:val="0"/>
              <w:spacing w:before="240" w:after="240"/>
              <w:rPr>
                <w:rFonts w:cs="Calibri"/>
                <w:b/>
                <w:color w:val="434343"/>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821DF10" w14:textId="77777777" w:rsidR="009B4B7B" w:rsidRPr="009B4B7B" w:rsidRDefault="009B4B7B" w:rsidP="00233289">
            <w:pPr>
              <w:rPr>
                <w:rFonts w:cs="Calibri"/>
                <w:sz w:val="20"/>
                <w:szCs w:val="20"/>
              </w:rPr>
            </w:pPr>
          </w:p>
          <w:p w14:paraId="76775442" w14:textId="77777777" w:rsidR="009B4B7B" w:rsidRPr="009B4B7B" w:rsidRDefault="009B4B7B" w:rsidP="00233289">
            <w:pPr>
              <w:jc w:val="both"/>
              <w:rPr>
                <w:rFonts w:cs="Calibri"/>
                <w:sz w:val="20"/>
                <w:szCs w:val="20"/>
              </w:rPr>
            </w:pPr>
            <w:r w:rsidRPr="009B4B7B">
              <w:rPr>
                <w:rFonts w:cs="Calibri"/>
                <w:sz w:val="20"/>
                <w:szCs w:val="20"/>
              </w:rPr>
              <w:t xml:space="preserve">The Pay Equity assessment process established that some nursing roles were undervalued more than others so a standard percentage increase on the scales does not apply. Instead, variable wage increases apply for different groups of members. </w:t>
            </w:r>
          </w:p>
          <w:p w14:paraId="5AE853F2" w14:textId="77777777" w:rsidR="009B4B7B" w:rsidRPr="009B4B7B" w:rsidRDefault="009B4B7B" w:rsidP="00233289">
            <w:pPr>
              <w:jc w:val="both"/>
              <w:rPr>
                <w:rFonts w:cs="Calibri"/>
                <w:sz w:val="20"/>
                <w:szCs w:val="20"/>
              </w:rPr>
            </w:pPr>
          </w:p>
          <w:p w14:paraId="1DE96161" w14:textId="77777777" w:rsidR="009B4B7B" w:rsidRPr="009B4B7B" w:rsidRDefault="009B4B7B" w:rsidP="00233289">
            <w:pPr>
              <w:rPr>
                <w:rFonts w:cs="Calibri"/>
              </w:rPr>
            </w:pPr>
            <w:r w:rsidRPr="009B4B7B">
              <w:rPr>
                <w:rFonts w:cs="Calibri"/>
                <w:sz w:val="20"/>
                <w:szCs w:val="20"/>
              </w:rPr>
              <w:t xml:space="preserve">More detailed information about increases and translation to the new pay rates is available here: </w:t>
            </w:r>
            <w:hyperlink r:id="rId9" w:history="1">
              <w:r w:rsidRPr="009B4B7B">
                <w:rPr>
                  <w:rStyle w:val="Hyperlink"/>
                  <w:rFonts w:cs="Calibri"/>
                </w:rPr>
                <w:t>https://www.psa.org.nz/psa/equal-pay-for-dhb-mental-and-public-health</w:t>
              </w:r>
            </w:hyperlink>
          </w:p>
          <w:p w14:paraId="1D498063" w14:textId="77777777" w:rsidR="009B4B7B" w:rsidRPr="009B4B7B" w:rsidRDefault="009B4B7B" w:rsidP="00233289">
            <w:pPr>
              <w:jc w:val="both"/>
              <w:rPr>
                <w:rFonts w:cs="Calibri"/>
                <w:color w:val="434343"/>
                <w:sz w:val="20"/>
                <w:szCs w:val="20"/>
              </w:rPr>
            </w:pPr>
          </w:p>
          <w:p w14:paraId="27CF07A5" w14:textId="77777777" w:rsidR="009B4B7B" w:rsidRPr="009B4B7B" w:rsidRDefault="009B4B7B" w:rsidP="00233289">
            <w:pPr>
              <w:jc w:val="both"/>
              <w:rPr>
                <w:rFonts w:cs="Calibri"/>
                <w:sz w:val="20"/>
                <w:szCs w:val="20"/>
              </w:rPr>
            </w:pPr>
          </w:p>
          <w:p w14:paraId="4C6508D3" w14:textId="77777777" w:rsidR="009B4B7B" w:rsidRPr="009B4B7B" w:rsidRDefault="009B4B7B" w:rsidP="00233289">
            <w:pPr>
              <w:jc w:val="both"/>
              <w:rPr>
                <w:rFonts w:cs="Calibri"/>
                <w:sz w:val="20"/>
                <w:szCs w:val="20"/>
              </w:rPr>
            </w:pPr>
            <w:r w:rsidRPr="009B4B7B">
              <w:rPr>
                <w:rFonts w:cs="Calibri"/>
                <w:sz w:val="20"/>
                <w:szCs w:val="20"/>
              </w:rPr>
              <w:t xml:space="preserve">Payments for working shifts, weekends, overtime and public holidays will be calculated on your new pay rates from the effective date (7 </w:t>
            </w:r>
            <w:proofErr w:type="gramStart"/>
            <w:r w:rsidRPr="009B4B7B">
              <w:rPr>
                <w:rFonts w:cs="Calibri"/>
                <w:sz w:val="20"/>
                <w:szCs w:val="20"/>
              </w:rPr>
              <w:t>march</w:t>
            </w:r>
            <w:proofErr w:type="gramEnd"/>
            <w:r w:rsidRPr="009B4B7B">
              <w:rPr>
                <w:rFonts w:cs="Calibri"/>
                <w:sz w:val="20"/>
                <w:szCs w:val="20"/>
              </w:rPr>
              <w:t xml:space="preserve"> 2022). </w:t>
            </w:r>
          </w:p>
          <w:p w14:paraId="5B107638" w14:textId="77777777" w:rsidR="009B4B7B" w:rsidRPr="009B4B7B" w:rsidRDefault="009B4B7B" w:rsidP="00233289">
            <w:pPr>
              <w:rPr>
                <w:rFonts w:cs="Calibri"/>
                <w:color w:val="434343"/>
                <w:sz w:val="20"/>
                <w:szCs w:val="20"/>
              </w:rPr>
            </w:pPr>
          </w:p>
        </w:tc>
      </w:tr>
      <w:tr w:rsidR="009B4B7B" w:rsidRPr="009B4B7B" w14:paraId="06ED4C4D"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CB34A18" w14:textId="77777777" w:rsidR="009B4B7B" w:rsidRPr="009B4B7B" w:rsidRDefault="009B4B7B" w:rsidP="00233289">
            <w:pPr>
              <w:rPr>
                <w:rFonts w:cs="Calibri"/>
                <w:b/>
                <w:sz w:val="20"/>
                <w:szCs w:val="20"/>
              </w:rPr>
            </w:pPr>
          </w:p>
          <w:p w14:paraId="152E68DE" w14:textId="77777777" w:rsidR="009B4B7B" w:rsidRPr="009B4B7B" w:rsidRDefault="009B4B7B" w:rsidP="00233289">
            <w:pPr>
              <w:rPr>
                <w:rFonts w:cs="Calibri"/>
                <w:b/>
                <w:sz w:val="20"/>
                <w:szCs w:val="20"/>
              </w:rPr>
            </w:pPr>
            <w:r w:rsidRPr="009B4B7B">
              <w:rPr>
                <w:rFonts w:cs="Calibri"/>
                <w:b/>
                <w:sz w:val="20"/>
                <w:szCs w:val="20"/>
              </w:rPr>
              <w:t>Why are the increases different for different roles?</w:t>
            </w:r>
          </w:p>
          <w:p w14:paraId="3079C093" w14:textId="77777777" w:rsidR="009B4B7B" w:rsidRPr="009B4B7B" w:rsidRDefault="009B4B7B" w:rsidP="00233289">
            <w:pPr>
              <w:widowControl w:val="0"/>
              <w:spacing w:before="240" w:after="240"/>
              <w:rPr>
                <w:rFonts w:cs="Calibri"/>
                <w:b/>
                <w:color w:val="434343"/>
                <w:sz w:val="20"/>
                <w:szCs w:val="20"/>
              </w:rPr>
            </w:pP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DD9C85" w14:textId="77777777" w:rsidR="009B4B7B" w:rsidRPr="009B4B7B" w:rsidRDefault="009B4B7B" w:rsidP="00233289">
            <w:pPr>
              <w:rPr>
                <w:rFonts w:cs="Calibri"/>
                <w:sz w:val="20"/>
                <w:szCs w:val="20"/>
                <w:highlight w:val="yellow"/>
              </w:rPr>
            </w:pPr>
          </w:p>
          <w:p w14:paraId="55CA8158" w14:textId="77777777" w:rsidR="009B4B7B" w:rsidRPr="009B4B7B" w:rsidRDefault="009B4B7B" w:rsidP="00233289">
            <w:pPr>
              <w:jc w:val="both"/>
              <w:rPr>
                <w:rFonts w:cs="Calibri"/>
                <w:sz w:val="20"/>
                <w:szCs w:val="20"/>
              </w:rPr>
            </w:pPr>
            <w:r w:rsidRPr="009B4B7B">
              <w:rPr>
                <w:rFonts w:cs="Calibri"/>
                <w:sz w:val="20"/>
                <w:szCs w:val="20"/>
              </w:rPr>
              <w:t xml:space="preserve">Each role was assessed separately using the EJE job evaluation tool and the evidence showed that some roles have been undervalued more than others. </w:t>
            </w:r>
          </w:p>
          <w:p w14:paraId="54D0DD71" w14:textId="77777777" w:rsidR="009B4B7B" w:rsidRPr="009B4B7B" w:rsidRDefault="009B4B7B" w:rsidP="00233289">
            <w:pPr>
              <w:jc w:val="both"/>
              <w:rPr>
                <w:rFonts w:cs="Calibri"/>
                <w:sz w:val="20"/>
                <w:szCs w:val="20"/>
                <w:highlight w:val="yellow"/>
              </w:rPr>
            </w:pPr>
          </w:p>
          <w:p w14:paraId="6BCC1509" w14:textId="77777777" w:rsidR="009B4B7B" w:rsidRPr="009B4B7B" w:rsidRDefault="009B4B7B" w:rsidP="00233289">
            <w:pPr>
              <w:jc w:val="both"/>
              <w:rPr>
                <w:rFonts w:cs="Calibri"/>
                <w:sz w:val="20"/>
                <w:szCs w:val="20"/>
              </w:rPr>
            </w:pPr>
            <w:r w:rsidRPr="009B4B7B">
              <w:rPr>
                <w:rFonts w:cs="Calibri"/>
                <w:sz w:val="20"/>
                <w:szCs w:val="20"/>
              </w:rPr>
              <w:t xml:space="preserve">As indicated in our Pay Equity Updates to members, it was anticipated that genuine Pay Equity across the nursing workforce would mean differing pay increases for different roles.  </w:t>
            </w:r>
          </w:p>
          <w:p w14:paraId="0F4FE412" w14:textId="77777777" w:rsidR="009B4B7B" w:rsidRPr="009B4B7B" w:rsidRDefault="009B4B7B" w:rsidP="00233289">
            <w:pPr>
              <w:rPr>
                <w:rFonts w:cs="Calibri"/>
                <w:color w:val="434343"/>
                <w:sz w:val="20"/>
                <w:szCs w:val="20"/>
              </w:rPr>
            </w:pPr>
            <w:r w:rsidRPr="009B4B7B">
              <w:rPr>
                <w:rFonts w:cs="Calibri"/>
                <w:sz w:val="20"/>
                <w:szCs w:val="20"/>
                <w:highlight w:val="yellow"/>
              </w:rPr>
              <w:t xml:space="preserve">  </w:t>
            </w:r>
          </w:p>
        </w:tc>
      </w:tr>
      <w:tr w:rsidR="009B4B7B" w:rsidRPr="009B4B7B" w14:paraId="71C55FF4"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94DD91" w14:textId="77777777" w:rsidR="009B4B7B" w:rsidRPr="009B4B7B" w:rsidRDefault="009B4B7B" w:rsidP="00233289">
            <w:pPr>
              <w:rPr>
                <w:rFonts w:cs="Calibri"/>
                <w:sz w:val="20"/>
                <w:szCs w:val="20"/>
              </w:rPr>
            </w:pPr>
          </w:p>
          <w:p w14:paraId="6204FB56" w14:textId="77777777" w:rsidR="009B4B7B" w:rsidRPr="009B4B7B" w:rsidRDefault="009B4B7B" w:rsidP="00233289">
            <w:pPr>
              <w:rPr>
                <w:rFonts w:cs="Calibri"/>
                <w:b/>
                <w:color w:val="434343"/>
                <w:sz w:val="20"/>
                <w:szCs w:val="20"/>
              </w:rPr>
            </w:pPr>
            <w:r w:rsidRPr="009B4B7B">
              <w:rPr>
                <w:rFonts w:cs="Calibri"/>
                <w:b/>
                <w:sz w:val="20"/>
                <w:szCs w:val="20"/>
              </w:rPr>
              <w:t>When will the new rates apply from?</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42AEF27" w14:textId="77777777" w:rsidR="009B4B7B" w:rsidRPr="009B4B7B" w:rsidRDefault="009B4B7B" w:rsidP="00233289">
            <w:pPr>
              <w:rPr>
                <w:rFonts w:cs="Calibri"/>
                <w:sz w:val="20"/>
                <w:szCs w:val="20"/>
              </w:rPr>
            </w:pPr>
          </w:p>
          <w:p w14:paraId="2E258E00" w14:textId="77777777" w:rsidR="009B4B7B" w:rsidRPr="009B4B7B" w:rsidRDefault="009B4B7B" w:rsidP="00233289">
            <w:pPr>
              <w:rPr>
                <w:rFonts w:cs="Calibri"/>
                <w:color w:val="434343"/>
                <w:sz w:val="20"/>
                <w:szCs w:val="20"/>
              </w:rPr>
            </w:pPr>
            <w:r w:rsidRPr="009B4B7B">
              <w:rPr>
                <w:rFonts w:cs="Calibri"/>
                <w:sz w:val="20"/>
                <w:szCs w:val="20"/>
              </w:rPr>
              <w:t>The new rates will apply from 7 March 2022. There will be a back pay component applied from that date.</w:t>
            </w:r>
          </w:p>
        </w:tc>
      </w:tr>
      <w:tr w:rsidR="009B4B7B" w:rsidRPr="009B4B7B" w14:paraId="5C519B49"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BFEF832" w14:textId="77777777" w:rsidR="009B4B7B" w:rsidRPr="009B4B7B" w:rsidRDefault="009B4B7B" w:rsidP="00233289">
            <w:pPr>
              <w:rPr>
                <w:rFonts w:cs="Calibri"/>
                <w:b/>
                <w:sz w:val="20"/>
                <w:szCs w:val="20"/>
              </w:rPr>
            </w:pPr>
            <w:r w:rsidRPr="009B4B7B">
              <w:rPr>
                <w:rFonts w:cs="Calibri"/>
                <w:b/>
                <w:sz w:val="20"/>
                <w:szCs w:val="20"/>
              </w:rPr>
              <w:t>What are the lump sum payments?</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F846703" w14:textId="77777777" w:rsidR="009B4B7B" w:rsidRPr="009B4B7B" w:rsidRDefault="009B4B7B" w:rsidP="00233289">
            <w:pPr>
              <w:jc w:val="both"/>
              <w:rPr>
                <w:rFonts w:cs="Calibri"/>
                <w:sz w:val="20"/>
                <w:szCs w:val="20"/>
              </w:rPr>
            </w:pPr>
            <w:r w:rsidRPr="009B4B7B">
              <w:rPr>
                <w:rFonts w:cs="Calibri"/>
                <w:sz w:val="20"/>
                <w:szCs w:val="20"/>
              </w:rPr>
              <w:t xml:space="preserve">The lump sum payments are recognition for past work and was negotiated to recognise that the claim applied from 31 December 2019. </w:t>
            </w:r>
          </w:p>
          <w:p w14:paraId="5570B78E" w14:textId="2A1217E1" w:rsidR="009B4B7B" w:rsidRPr="009B4B7B" w:rsidRDefault="009B4B7B" w:rsidP="00233289">
            <w:pPr>
              <w:jc w:val="both"/>
              <w:rPr>
                <w:rFonts w:cs="Calibri"/>
                <w:sz w:val="20"/>
                <w:szCs w:val="20"/>
              </w:rPr>
            </w:pPr>
            <w:r w:rsidRPr="009B4B7B">
              <w:rPr>
                <w:rFonts w:cs="Calibri"/>
                <w:sz w:val="20"/>
                <w:szCs w:val="20"/>
              </w:rPr>
              <w:t xml:space="preserve">A down payment on this recognition was paid to </w:t>
            </w:r>
            <w:proofErr w:type="gramStart"/>
            <w:r w:rsidR="00F65D9D">
              <w:rPr>
                <w:rFonts w:cs="Calibri"/>
                <w:sz w:val="20"/>
                <w:szCs w:val="20"/>
              </w:rPr>
              <w:t xml:space="preserve">PSA </w:t>
            </w:r>
            <w:r w:rsidRPr="009B4B7B">
              <w:rPr>
                <w:rFonts w:cs="Calibri"/>
                <w:sz w:val="20"/>
                <w:szCs w:val="20"/>
              </w:rPr>
              <w:t xml:space="preserve"> members</w:t>
            </w:r>
            <w:proofErr w:type="gramEnd"/>
            <w:r w:rsidRPr="009B4B7B">
              <w:rPr>
                <w:rFonts w:cs="Calibri"/>
                <w:sz w:val="20"/>
                <w:szCs w:val="20"/>
              </w:rPr>
              <w:t xml:space="preserve"> as a result of MECA negotiations in late 2021. This included up to $6,000 as a lump sum and up to a further $1,000 as the 30 November settlement date was not met. The remaining payment of up to $3,000 brings the total recognition of past work to $10,000. These payments have not yet been paid to staff who are not </w:t>
            </w:r>
            <w:r w:rsidR="00F65D9D" w:rsidRPr="009B4B7B">
              <w:rPr>
                <w:rFonts w:cs="Calibri"/>
                <w:sz w:val="20"/>
                <w:szCs w:val="20"/>
              </w:rPr>
              <w:t>PSA</w:t>
            </w:r>
            <w:r w:rsidR="00F65D9D" w:rsidRPr="009B4B7B">
              <w:rPr>
                <w:rFonts w:cs="Calibri"/>
                <w:sz w:val="20"/>
                <w:szCs w:val="20"/>
              </w:rPr>
              <w:t xml:space="preserve"> </w:t>
            </w:r>
            <w:r w:rsidRPr="009B4B7B">
              <w:rPr>
                <w:rFonts w:cs="Calibri"/>
                <w:sz w:val="20"/>
                <w:szCs w:val="20"/>
              </w:rPr>
              <w:t xml:space="preserve">or </w:t>
            </w:r>
            <w:r w:rsidR="00F65D9D" w:rsidRPr="009B4B7B">
              <w:rPr>
                <w:rFonts w:cs="Calibri"/>
                <w:sz w:val="20"/>
                <w:szCs w:val="20"/>
              </w:rPr>
              <w:t xml:space="preserve">NZNO </w:t>
            </w:r>
            <w:r w:rsidRPr="009B4B7B">
              <w:rPr>
                <w:rFonts w:cs="Calibri"/>
                <w:sz w:val="20"/>
                <w:szCs w:val="20"/>
              </w:rPr>
              <w:t xml:space="preserve">members. </w:t>
            </w:r>
          </w:p>
          <w:p w14:paraId="603E97C7" w14:textId="77777777" w:rsidR="009B4B7B" w:rsidRPr="009B4B7B" w:rsidRDefault="009B4B7B" w:rsidP="00233289">
            <w:pPr>
              <w:jc w:val="both"/>
              <w:rPr>
                <w:rFonts w:cs="Calibri"/>
                <w:sz w:val="20"/>
                <w:szCs w:val="20"/>
              </w:rPr>
            </w:pPr>
            <w:r w:rsidRPr="009B4B7B">
              <w:rPr>
                <w:rFonts w:cs="Calibri"/>
                <w:sz w:val="20"/>
                <w:szCs w:val="20"/>
              </w:rPr>
              <w:t>What we have learnt from previous experience involving back pay is that it is extremely complex to administer and, in this case, would have taken up to two years to administer. Further, back pay is heavily invested money going backwards, rather than the money to increase the rate or achieve other, complementary, improvements to terms and conditions going forward.</w:t>
            </w:r>
          </w:p>
        </w:tc>
      </w:tr>
      <w:tr w:rsidR="009B4B7B" w:rsidRPr="009B4B7B" w14:paraId="458DB5CF"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1BF323C" w14:textId="77777777" w:rsidR="009B4B7B" w:rsidRPr="009B4B7B" w:rsidRDefault="009B4B7B" w:rsidP="00233289">
            <w:pPr>
              <w:rPr>
                <w:rFonts w:cs="Calibri"/>
                <w:b/>
                <w:sz w:val="20"/>
                <w:szCs w:val="20"/>
              </w:rPr>
            </w:pPr>
            <w:r w:rsidRPr="009B4B7B">
              <w:rPr>
                <w:rFonts w:cs="Calibri"/>
                <w:b/>
                <w:sz w:val="20"/>
                <w:szCs w:val="20"/>
              </w:rPr>
              <w:t>Why isn’t the lump sum payment recognising the value of previous work not based on actual back pay amounts?</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EF70528" w14:textId="77777777" w:rsidR="009B4B7B" w:rsidRPr="009B4B7B" w:rsidRDefault="009B4B7B" w:rsidP="00233289">
            <w:pPr>
              <w:rPr>
                <w:rFonts w:cs="Calibri"/>
                <w:sz w:val="20"/>
                <w:szCs w:val="20"/>
              </w:rPr>
            </w:pPr>
            <w:r w:rsidRPr="009B4B7B">
              <w:rPr>
                <w:rFonts w:cs="Calibri"/>
                <w:sz w:val="20"/>
                <w:szCs w:val="20"/>
              </w:rPr>
              <w:t xml:space="preserve">The lump sum payment is a negotiable aspect of the settlement. Although the parties disagreed about the payment amount, ultimately it was necessary to </w:t>
            </w:r>
            <w:proofErr w:type="gramStart"/>
            <w:r w:rsidRPr="009B4B7B">
              <w:rPr>
                <w:rFonts w:cs="Calibri"/>
                <w:sz w:val="20"/>
                <w:szCs w:val="20"/>
              </w:rPr>
              <w:t>make a decision</w:t>
            </w:r>
            <w:proofErr w:type="gramEnd"/>
            <w:r w:rsidRPr="009B4B7B">
              <w:rPr>
                <w:rFonts w:cs="Calibri"/>
                <w:sz w:val="20"/>
                <w:szCs w:val="20"/>
              </w:rPr>
              <w:t xml:space="preserve"> about how to move forward with the negotiations.  Our approach to the Pay Equity negotiations from the beginning has been to achieve the greatest increase to rates of pay for as many members as possible.  We also heard from members how urgently they wanted to see this issue resolved.  This guided our approach which mean that we were able to conclude the claim so that members could enjoy the benefits of the pay equity settlement sooner. </w:t>
            </w:r>
          </w:p>
        </w:tc>
      </w:tr>
      <w:tr w:rsidR="009B4B7B" w:rsidRPr="009B4B7B" w14:paraId="6251537B"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8849DB7" w14:textId="77777777" w:rsidR="009B4B7B" w:rsidRPr="009B4B7B" w:rsidRDefault="009B4B7B" w:rsidP="00233289">
            <w:pPr>
              <w:rPr>
                <w:rFonts w:cs="Calibri"/>
                <w:b/>
                <w:sz w:val="20"/>
                <w:szCs w:val="20"/>
              </w:rPr>
            </w:pPr>
          </w:p>
          <w:p w14:paraId="42A35550" w14:textId="77777777" w:rsidR="009B4B7B" w:rsidRPr="009B4B7B" w:rsidRDefault="009B4B7B" w:rsidP="00233289">
            <w:pPr>
              <w:rPr>
                <w:rFonts w:cs="Calibri"/>
                <w:sz w:val="20"/>
                <w:szCs w:val="20"/>
              </w:rPr>
            </w:pPr>
            <w:r w:rsidRPr="009B4B7B">
              <w:rPr>
                <w:rFonts w:cs="Calibri"/>
                <w:b/>
                <w:sz w:val="20"/>
                <w:szCs w:val="20"/>
              </w:rPr>
              <w:t>What if I was employed by a DHB in one of these roles but am no longer?</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F0CC41E" w14:textId="77777777" w:rsidR="009B4B7B" w:rsidRPr="009B4B7B" w:rsidRDefault="009B4B7B" w:rsidP="00233289">
            <w:pPr>
              <w:rPr>
                <w:rFonts w:cs="Calibri"/>
                <w:sz w:val="20"/>
                <w:szCs w:val="20"/>
              </w:rPr>
            </w:pPr>
          </w:p>
          <w:p w14:paraId="77CC7582" w14:textId="77777777" w:rsidR="009B4B7B" w:rsidRPr="009B4B7B" w:rsidRDefault="009B4B7B" w:rsidP="00233289">
            <w:pPr>
              <w:jc w:val="both"/>
              <w:rPr>
                <w:rFonts w:cs="Calibri"/>
                <w:sz w:val="20"/>
                <w:szCs w:val="20"/>
              </w:rPr>
            </w:pPr>
            <w:r w:rsidRPr="009B4B7B">
              <w:rPr>
                <w:rFonts w:cs="Calibri"/>
                <w:sz w:val="20"/>
                <w:szCs w:val="20"/>
              </w:rPr>
              <w:t>To be eligible to vote on the settlement you need to be currently employed by a DHB in one of the roles covered by the settlement.</w:t>
            </w:r>
          </w:p>
          <w:p w14:paraId="79C4E86B" w14:textId="77777777" w:rsidR="009B4B7B" w:rsidRPr="009B4B7B" w:rsidRDefault="009B4B7B" w:rsidP="00233289">
            <w:pPr>
              <w:jc w:val="both"/>
              <w:rPr>
                <w:rFonts w:cs="Calibri"/>
                <w:sz w:val="20"/>
                <w:szCs w:val="20"/>
              </w:rPr>
            </w:pPr>
          </w:p>
          <w:p w14:paraId="12155C2A" w14:textId="77777777" w:rsidR="009B4B7B" w:rsidRPr="009B4B7B" w:rsidRDefault="009B4B7B" w:rsidP="00233289">
            <w:pPr>
              <w:jc w:val="both"/>
              <w:rPr>
                <w:rFonts w:cs="Calibri"/>
                <w:sz w:val="20"/>
                <w:szCs w:val="20"/>
              </w:rPr>
            </w:pPr>
            <w:r w:rsidRPr="009B4B7B">
              <w:rPr>
                <w:rFonts w:cs="Calibri"/>
                <w:sz w:val="20"/>
                <w:szCs w:val="20"/>
              </w:rPr>
              <w:t xml:space="preserve">If you were employed by a DHB in a role covered by the settlement as </w:t>
            </w:r>
            <w:proofErr w:type="gramStart"/>
            <w:r w:rsidRPr="009B4B7B">
              <w:rPr>
                <w:rFonts w:cs="Calibri"/>
                <w:sz w:val="20"/>
                <w:szCs w:val="20"/>
              </w:rPr>
              <w:t>at</w:t>
            </w:r>
            <w:proofErr w:type="gramEnd"/>
            <w:r w:rsidRPr="009B4B7B">
              <w:rPr>
                <w:rFonts w:cs="Calibri"/>
                <w:sz w:val="20"/>
                <w:szCs w:val="20"/>
              </w:rPr>
              <w:t xml:space="preserve"> 1 January 2020 but no longer work at a DHB you are not eligible to vote on the settlement but are entitled to the recognition of past work payment for the period between 1 January 2020 and 7 March 2022. </w:t>
            </w:r>
          </w:p>
          <w:p w14:paraId="587D8482" w14:textId="77777777" w:rsidR="009B4B7B" w:rsidRPr="009B4B7B" w:rsidRDefault="009B4B7B" w:rsidP="00233289">
            <w:pPr>
              <w:rPr>
                <w:rFonts w:cs="Calibri"/>
                <w:sz w:val="20"/>
                <w:szCs w:val="20"/>
              </w:rPr>
            </w:pPr>
          </w:p>
        </w:tc>
      </w:tr>
      <w:tr w:rsidR="009B4B7B" w:rsidRPr="009B4B7B" w14:paraId="273A5074"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4FC70DF" w14:textId="77777777" w:rsidR="009B4B7B" w:rsidRPr="009B4B7B" w:rsidRDefault="009B4B7B" w:rsidP="00233289">
            <w:pPr>
              <w:rPr>
                <w:rFonts w:cs="Calibri"/>
                <w:b/>
                <w:sz w:val="20"/>
                <w:szCs w:val="20"/>
              </w:rPr>
            </w:pPr>
            <w:bookmarkStart w:id="2" w:name="_Hlk100137001"/>
          </w:p>
          <w:p w14:paraId="4382F706" w14:textId="77777777" w:rsidR="009B4B7B" w:rsidRPr="009B4B7B" w:rsidRDefault="009B4B7B" w:rsidP="00233289">
            <w:pPr>
              <w:rPr>
                <w:rFonts w:cs="Calibri"/>
                <w:b/>
                <w:color w:val="434343"/>
                <w:sz w:val="20"/>
                <w:szCs w:val="20"/>
              </w:rPr>
            </w:pPr>
            <w:r w:rsidRPr="009B4B7B">
              <w:rPr>
                <w:rFonts w:cs="Calibri"/>
                <w:b/>
                <w:sz w:val="20"/>
                <w:szCs w:val="20"/>
              </w:rPr>
              <w:t>Why do staff who are not NZNO or PSA members get the settlement as well?</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24B7D1F" w14:textId="77777777" w:rsidR="009B4B7B" w:rsidRPr="009B4B7B" w:rsidRDefault="009B4B7B" w:rsidP="00233289">
            <w:pPr>
              <w:rPr>
                <w:rFonts w:cs="Calibri"/>
                <w:sz w:val="20"/>
                <w:szCs w:val="20"/>
              </w:rPr>
            </w:pPr>
          </w:p>
          <w:p w14:paraId="750BBCDD" w14:textId="77777777" w:rsidR="009B4B7B" w:rsidRPr="009B4B7B" w:rsidRDefault="009B4B7B" w:rsidP="00233289">
            <w:pPr>
              <w:jc w:val="both"/>
              <w:rPr>
                <w:rFonts w:cs="Calibri"/>
                <w:sz w:val="20"/>
                <w:szCs w:val="20"/>
              </w:rPr>
            </w:pPr>
            <w:r w:rsidRPr="009B4B7B">
              <w:rPr>
                <w:rFonts w:cs="Calibri"/>
                <w:sz w:val="20"/>
                <w:szCs w:val="20"/>
              </w:rPr>
              <w:t xml:space="preserve">The settlement is about what is fair and right for workers in these </w:t>
            </w:r>
            <w:proofErr w:type="gramStart"/>
            <w:r w:rsidRPr="009B4B7B">
              <w:rPr>
                <w:rFonts w:cs="Calibri"/>
                <w:sz w:val="20"/>
                <w:szCs w:val="20"/>
              </w:rPr>
              <w:t>roles as a whole</w:t>
            </w:r>
            <w:proofErr w:type="gramEnd"/>
            <w:r w:rsidRPr="009B4B7B">
              <w:rPr>
                <w:rFonts w:cs="Calibri"/>
                <w:sz w:val="20"/>
                <w:szCs w:val="20"/>
              </w:rPr>
              <w:t xml:space="preserve">. The Equal Pay Act applies to all workers covered by the Pay Equity claim regardless of union membership. </w:t>
            </w:r>
          </w:p>
          <w:p w14:paraId="5E5969BD" w14:textId="77777777" w:rsidR="009B4B7B" w:rsidRPr="009B4B7B" w:rsidRDefault="009B4B7B" w:rsidP="00233289">
            <w:pPr>
              <w:rPr>
                <w:rFonts w:cs="Calibri"/>
                <w:color w:val="434343"/>
                <w:sz w:val="20"/>
                <w:szCs w:val="20"/>
              </w:rPr>
            </w:pPr>
          </w:p>
        </w:tc>
      </w:tr>
      <w:tr w:rsidR="009B4B7B" w:rsidRPr="009B4B7B" w14:paraId="2BD1E1E9"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32D2EFD" w14:textId="77777777" w:rsidR="009B4B7B" w:rsidRPr="009B4B7B" w:rsidRDefault="009B4B7B" w:rsidP="00233289">
            <w:pPr>
              <w:rPr>
                <w:rFonts w:cs="Calibri"/>
                <w:b/>
                <w:sz w:val="20"/>
                <w:szCs w:val="20"/>
              </w:rPr>
            </w:pPr>
          </w:p>
          <w:p w14:paraId="77703FE7" w14:textId="77777777" w:rsidR="009B4B7B" w:rsidRPr="009B4B7B" w:rsidRDefault="009B4B7B" w:rsidP="00233289">
            <w:pPr>
              <w:rPr>
                <w:rFonts w:cs="Calibri"/>
                <w:b/>
                <w:color w:val="434343"/>
                <w:sz w:val="20"/>
                <w:szCs w:val="20"/>
              </w:rPr>
            </w:pPr>
            <w:r w:rsidRPr="009B4B7B">
              <w:rPr>
                <w:rFonts w:cs="Calibri"/>
                <w:b/>
                <w:sz w:val="20"/>
                <w:szCs w:val="20"/>
              </w:rPr>
              <w:t>Will staff who are not NZNO or PSA members receive the recognition for past work?</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8507044" w14:textId="77777777" w:rsidR="009B4B7B" w:rsidRPr="009B4B7B" w:rsidRDefault="009B4B7B" w:rsidP="00233289">
            <w:pPr>
              <w:rPr>
                <w:rFonts w:cs="Calibri"/>
                <w:sz w:val="20"/>
                <w:szCs w:val="20"/>
              </w:rPr>
            </w:pPr>
          </w:p>
          <w:p w14:paraId="30EFA81C" w14:textId="713ED7BE" w:rsidR="009B4B7B" w:rsidRPr="009B4B7B" w:rsidRDefault="009B4B7B" w:rsidP="00233289">
            <w:pPr>
              <w:jc w:val="both"/>
              <w:rPr>
                <w:rFonts w:cs="Calibri"/>
                <w:sz w:val="20"/>
                <w:szCs w:val="20"/>
              </w:rPr>
            </w:pPr>
            <w:r w:rsidRPr="009B4B7B">
              <w:rPr>
                <w:rFonts w:cs="Calibri"/>
                <w:sz w:val="20"/>
                <w:szCs w:val="20"/>
              </w:rPr>
              <w:t>Yes, they will receive this payment.  The Equal Pay Act applies to all workers covered by the claim regardless of union membership.</w:t>
            </w:r>
          </w:p>
          <w:p w14:paraId="751117FB" w14:textId="77777777" w:rsidR="009B4B7B" w:rsidRPr="009B4B7B" w:rsidRDefault="009B4B7B" w:rsidP="00233289">
            <w:pPr>
              <w:rPr>
                <w:rFonts w:cs="Calibri"/>
                <w:color w:val="434343"/>
                <w:sz w:val="20"/>
                <w:szCs w:val="20"/>
              </w:rPr>
            </w:pPr>
          </w:p>
        </w:tc>
      </w:tr>
      <w:bookmarkEnd w:id="2"/>
      <w:tr w:rsidR="009B4B7B" w:rsidRPr="009B4B7B" w14:paraId="463C0C18" w14:textId="77777777" w:rsidTr="00F65D9D">
        <w:trPr>
          <w:gridAfter w:val="1"/>
          <w:wAfter w:w="9" w:type="pct"/>
        </w:trPr>
        <w:tc>
          <w:tcPr>
            <w:tcW w:w="870"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DD46683" w14:textId="77777777" w:rsidR="009B4B7B" w:rsidRPr="009B4B7B" w:rsidRDefault="009B4B7B" w:rsidP="00233289">
            <w:pPr>
              <w:rPr>
                <w:rFonts w:cs="Calibri"/>
                <w:b/>
                <w:color w:val="434343"/>
                <w:sz w:val="20"/>
                <w:szCs w:val="20"/>
              </w:rPr>
            </w:pPr>
            <w:r w:rsidRPr="009B4B7B">
              <w:rPr>
                <w:rFonts w:cs="Calibri"/>
                <w:b/>
                <w:sz w:val="20"/>
                <w:szCs w:val="20"/>
              </w:rPr>
              <w:t xml:space="preserve">When will the DHBs start paying the new rates and back pay? </w:t>
            </w:r>
          </w:p>
        </w:tc>
        <w:tc>
          <w:tcPr>
            <w:tcW w:w="4121" w:type="pct"/>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86D7247" w14:textId="77777777" w:rsidR="009B4B7B" w:rsidRPr="009B4B7B" w:rsidRDefault="009B4B7B" w:rsidP="00233289">
            <w:pPr>
              <w:rPr>
                <w:rFonts w:cs="Calibri"/>
                <w:sz w:val="20"/>
                <w:szCs w:val="20"/>
              </w:rPr>
            </w:pPr>
          </w:p>
          <w:p w14:paraId="29C5DA99" w14:textId="3567FC17" w:rsidR="009B4B7B" w:rsidRPr="009B4B7B" w:rsidRDefault="009B4B7B" w:rsidP="00233289">
            <w:pPr>
              <w:jc w:val="both"/>
              <w:rPr>
                <w:rFonts w:cs="Calibri"/>
                <w:sz w:val="20"/>
                <w:szCs w:val="20"/>
              </w:rPr>
            </w:pPr>
            <w:r w:rsidRPr="009B4B7B">
              <w:rPr>
                <w:rFonts w:cs="Calibri"/>
                <w:sz w:val="20"/>
                <w:szCs w:val="20"/>
              </w:rPr>
              <w:t xml:space="preserve">We are unable to provide a certain date when the back pay and new rates will be paid out and estimated dates often are not reliable. However, </w:t>
            </w:r>
            <w:r w:rsidR="00F65D9D">
              <w:rPr>
                <w:rFonts w:cs="Calibri"/>
                <w:sz w:val="20"/>
                <w:szCs w:val="20"/>
              </w:rPr>
              <w:t>we</w:t>
            </w:r>
            <w:r w:rsidRPr="009B4B7B">
              <w:rPr>
                <w:rFonts w:cs="Calibri"/>
                <w:sz w:val="20"/>
                <w:szCs w:val="20"/>
              </w:rPr>
              <w:t xml:space="preserve"> will press employers for payments to be made as soon as possible.</w:t>
            </w:r>
          </w:p>
          <w:p w14:paraId="265FDA07" w14:textId="77777777" w:rsidR="009B4B7B" w:rsidRPr="009B4B7B" w:rsidRDefault="009B4B7B" w:rsidP="00233289">
            <w:pPr>
              <w:rPr>
                <w:rFonts w:cs="Calibri"/>
                <w:color w:val="434343"/>
                <w:sz w:val="20"/>
                <w:szCs w:val="20"/>
              </w:rPr>
            </w:pPr>
          </w:p>
        </w:tc>
      </w:tr>
    </w:tbl>
    <w:p w14:paraId="08A8CE7D" w14:textId="77777777" w:rsidR="009B4B7B" w:rsidRPr="009B4B7B" w:rsidRDefault="009B4B7B" w:rsidP="009B4B7B">
      <w:pPr>
        <w:rPr>
          <w:rFonts w:cs="Calibri"/>
          <w:b/>
          <w:color w:val="FF0000"/>
          <w:sz w:val="28"/>
          <w:szCs w:val="28"/>
        </w:rPr>
      </w:pPr>
    </w:p>
    <w:p w14:paraId="4F0635C0" w14:textId="77777777" w:rsidR="009B4B7B" w:rsidRPr="009B4B7B" w:rsidRDefault="009B4B7B" w:rsidP="009B4B7B">
      <w:pPr>
        <w:rPr>
          <w:rFonts w:cs="Calibri"/>
          <w:color w:val="000000"/>
          <w:sz w:val="24"/>
          <w:szCs w:val="24"/>
        </w:rPr>
      </w:pPr>
    </w:p>
    <w:p w14:paraId="3C48E443" w14:textId="77777777" w:rsidR="009B4B7B" w:rsidRPr="009B4B7B" w:rsidRDefault="009B4B7B" w:rsidP="009B4B7B">
      <w:pPr>
        <w:rPr>
          <w:rFonts w:cs="Calibri"/>
          <w:color w:val="000000"/>
          <w:sz w:val="24"/>
          <w:szCs w:val="24"/>
        </w:rPr>
      </w:pPr>
    </w:p>
    <w:sectPr w:rsidR="009B4B7B" w:rsidRPr="009B4B7B" w:rsidSect="009B4B7B">
      <w:headerReference w:type="even" r:id="rId10"/>
      <w:headerReference w:type="default" r:id="rId11"/>
      <w:footerReference w:type="default" r:id="rId12"/>
      <w:headerReference w:type="first" r:id="rId13"/>
      <w:pgSz w:w="16838" w:h="11906" w:orient="landscape"/>
      <w:pgMar w:top="18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DFFE" w14:textId="77777777" w:rsidR="00EF1782" w:rsidRDefault="00EF1782" w:rsidP="005E6EA7">
      <w:r>
        <w:separator/>
      </w:r>
    </w:p>
  </w:endnote>
  <w:endnote w:type="continuationSeparator" w:id="0">
    <w:p w14:paraId="54B82F61" w14:textId="77777777" w:rsidR="00EF1782" w:rsidRDefault="00EF1782" w:rsidP="005E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Black">
    <w:charset w:val="00"/>
    <w:family w:val="auto"/>
    <w:pitch w:val="variable"/>
    <w:sig w:usb0="2000020F" w:usb1="00000003" w:usb2="00000000" w:usb3="00000000" w:csb0="00000197" w:csb1="00000000"/>
  </w:font>
  <w:font w:name="Montserrat">
    <w:charset w:val="00"/>
    <w:family w:val="auto"/>
    <w:pitch w:val="variable"/>
    <w:sig w:usb0="00000001"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5256910"/>
      <w:docPartObj>
        <w:docPartGallery w:val="Page Numbers (Bottom of Page)"/>
        <w:docPartUnique/>
      </w:docPartObj>
    </w:sdtPr>
    <w:sdtEndPr>
      <w:rPr>
        <w:noProof/>
      </w:rPr>
    </w:sdtEndPr>
    <w:sdtContent>
      <w:p w14:paraId="7CE315AC" w14:textId="77777777" w:rsidR="009B4B7B" w:rsidRPr="009B4B7B" w:rsidRDefault="009B4B7B">
        <w:pPr>
          <w:pStyle w:val="Footer"/>
          <w:jc w:val="center"/>
          <w:rPr>
            <w:sz w:val="20"/>
          </w:rPr>
        </w:pPr>
        <w:r w:rsidRPr="009B4B7B">
          <w:rPr>
            <w:sz w:val="20"/>
          </w:rPr>
          <w:fldChar w:fldCharType="begin"/>
        </w:r>
        <w:r w:rsidRPr="009B4B7B">
          <w:rPr>
            <w:sz w:val="20"/>
          </w:rPr>
          <w:instrText xml:space="preserve"> PAGE   \* MERGEFORMAT </w:instrText>
        </w:r>
        <w:r w:rsidRPr="009B4B7B">
          <w:rPr>
            <w:sz w:val="20"/>
          </w:rPr>
          <w:fldChar w:fldCharType="separate"/>
        </w:r>
        <w:r>
          <w:rPr>
            <w:noProof/>
            <w:sz w:val="20"/>
          </w:rPr>
          <w:t>3</w:t>
        </w:r>
        <w:r w:rsidRPr="009B4B7B">
          <w:rPr>
            <w:noProof/>
            <w:sz w:val="20"/>
          </w:rPr>
          <w:fldChar w:fldCharType="end"/>
        </w:r>
      </w:p>
    </w:sdtContent>
  </w:sdt>
  <w:p w14:paraId="2EC36EF5" w14:textId="77777777" w:rsidR="009B4B7B" w:rsidRDefault="009B4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EC4B" w14:textId="77777777" w:rsidR="00EF1782" w:rsidRDefault="00EF1782" w:rsidP="005E6EA7">
      <w:r>
        <w:separator/>
      </w:r>
    </w:p>
  </w:footnote>
  <w:footnote w:type="continuationSeparator" w:id="0">
    <w:p w14:paraId="38E01EBB" w14:textId="77777777" w:rsidR="00EF1782" w:rsidRDefault="00EF1782" w:rsidP="005E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1B3" w14:textId="77777777" w:rsidR="005E6EA7" w:rsidRDefault="00EF1782">
    <w:pPr>
      <w:pStyle w:val="Header"/>
    </w:pPr>
    <w:r>
      <w:rPr>
        <w:noProof/>
        <w:lang w:eastAsia="en-NZ"/>
      </w:rPr>
      <w:pict w14:anchorId="40C78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055016" o:spid="_x0000_s2053" type="#_x0000_t75" style="position:absolute;margin-left:0;margin-top:0;width:595.2pt;height:841.9pt;z-index:-251657216;mso-position-horizontal:center;mso-position-horizontal-relative:margin;mso-position-vertical:center;mso-position-vertical-relative:margin" o:allowincell="f">
          <v:imagedata r:id="rId1" o:title="Sector backgrounds DH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E549" w14:textId="77777777" w:rsidR="005E6EA7" w:rsidRDefault="009B4B7B">
    <w:pPr>
      <w:pStyle w:val="Header"/>
    </w:pPr>
    <w:r>
      <w:rPr>
        <w:rFonts w:ascii="Source Sans Pro" w:hAnsi="Source Sans Pro" w:cs="Arial"/>
        <w:noProof/>
        <w:lang w:eastAsia="en-NZ"/>
      </w:rPr>
      <w:drawing>
        <wp:anchor distT="0" distB="0" distL="114300" distR="114300" simplePos="0" relativeHeight="251661312" behindDoc="0" locked="0" layoutInCell="1" allowOverlap="1" wp14:anchorId="4273F76A" wp14:editId="75E78462">
          <wp:simplePos x="0" y="0"/>
          <wp:positionH relativeFrom="column">
            <wp:posOffset>7297094</wp:posOffset>
          </wp:positionH>
          <wp:positionV relativeFrom="paragraph">
            <wp:posOffset>-241349</wp:posOffset>
          </wp:positionV>
          <wp:extent cx="1656784" cy="875066"/>
          <wp:effectExtent l="0" t="0" r="635" b="1270"/>
          <wp:wrapNone/>
          <wp:docPr id="6" name="Picture 6" descr="C:\Users\JDownes.tas\AppData\Local\Microsoft\Windows\INetCache\Content.MSO\CC67A7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Downes.tas\AppData\Local\Microsoft\Windows\INetCache\Content.MSO\CC67A7B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642" cy="8802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0574" w14:textId="77777777" w:rsidR="005E6EA7" w:rsidRDefault="00EF1782">
    <w:pPr>
      <w:pStyle w:val="Header"/>
    </w:pPr>
    <w:r>
      <w:rPr>
        <w:noProof/>
        <w:lang w:eastAsia="en-NZ"/>
      </w:rPr>
      <w:pict w14:anchorId="4DCE8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1055015" o:spid="_x0000_s2052" type="#_x0000_t75" style="position:absolute;margin-left:0;margin-top:0;width:595.2pt;height:841.9pt;z-index:-251658240;mso-position-horizontal:center;mso-position-horizontal-relative:margin;mso-position-vertical:center;mso-position-vertical-relative:margin" o:allowincell="f">
          <v:imagedata r:id="rId1" o:title="Sector backgrounds DH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BC0"/>
    <w:multiLevelType w:val="hybridMultilevel"/>
    <w:tmpl w:val="07465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09152B"/>
    <w:multiLevelType w:val="hybridMultilevel"/>
    <w:tmpl w:val="6FDE06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9C16571"/>
    <w:multiLevelType w:val="hybridMultilevel"/>
    <w:tmpl w:val="E280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031CE7"/>
    <w:multiLevelType w:val="hybridMultilevel"/>
    <w:tmpl w:val="2138C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7B"/>
    <w:rsid w:val="0027424F"/>
    <w:rsid w:val="0031255A"/>
    <w:rsid w:val="003A313F"/>
    <w:rsid w:val="003E4B36"/>
    <w:rsid w:val="00423AD5"/>
    <w:rsid w:val="004314C2"/>
    <w:rsid w:val="005E6EA7"/>
    <w:rsid w:val="0093042E"/>
    <w:rsid w:val="009B4B7B"/>
    <w:rsid w:val="00D946B0"/>
    <w:rsid w:val="00EF1782"/>
    <w:rsid w:val="00F65D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1299B9F"/>
  <w15:chartTrackingRefBased/>
  <w15:docId w15:val="{CBD7325F-D8AF-4ADC-91BB-1025E665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1">
    <w:name w:val="heading 1"/>
    <w:basedOn w:val="Normal"/>
    <w:next w:val="Normal"/>
    <w:link w:val="Heading1Char"/>
    <w:uiPriority w:val="9"/>
    <w:qFormat/>
    <w:rsid w:val="009B4B7B"/>
    <w:pPr>
      <w:keepNext/>
      <w:keepLines/>
      <w:spacing w:before="400" w:after="120" w:line="276" w:lineRule="auto"/>
      <w:outlineLvl w:val="0"/>
    </w:pPr>
    <w:rPr>
      <w:rFonts w:ascii="Arial" w:eastAsia="Arial" w:hAnsi="Arial" w:cs="Arial"/>
      <w:sz w:val="40"/>
      <w:szCs w:val="40"/>
      <w:lang w:val="en" w:eastAsia="en-NZ"/>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5E6EA7"/>
    <w:pPr>
      <w:tabs>
        <w:tab w:val="center" w:pos="4513"/>
        <w:tab w:val="right" w:pos="9026"/>
      </w:tabs>
    </w:pPr>
  </w:style>
  <w:style w:type="character" w:customStyle="1" w:styleId="HeaderChar">
    <w:name w:val="Header Char"/>
    <w:basedOn w:val="DefaultParagraphFont"/>
    <w:link w:val="Header"/>
    <w:uiPriority w:val="99"/>
    <w:rsid w:val="005E6EA7"/>
    <w:rPr>
      <w:sz w:val="22"/>
      <w:szCs w:val="22"/>
    </w:rPr>
  </w:style>
  <w:style w:type="paragraph" w:styleId="Footer">
    <w:name w:val="footer"/>
    <w:basedOn w:val="Normal"/>
    <w:link w:val="FooterChar"/>
    <w:uiPriority w:val="99"/>
    <w:unhideWhenUsed/>
    <w:rsid w:val="005E6EA7"/>
    <w:pPr>
      <w:tabs>
        <w:tab w:val="center" w:pos="4513"/>
        <w:tab w:val="right" w:pos="9026"/>
      </w:tabs>
    </w:pPr>
  </w:style>
  <w:style w:type="character" w:customStyle="1" w:styleId="FooterChar">
    <w:name w:val="Footer Char"/>
    <w:basedOn w:val="DefaultParagraphFont"/>
    <w:link w:val="Footer"/>
    <w:uiPriority w:val="99"/>
    <w:rsid w:val="005E6EA7"/>
    <w:rPr>
      <w:sz w:val="22"/>
      <w:szCs w:val="22"/>
    </w:rPr>
  </w:style>
  <w:style w:type="character" w:customStyle="1" w:styleId="Heading1Char">
    <w:name w:val="Heading 1 Char"/>
    <w:basedOn w:val="DefaultParagraphFont"/>
    <w:link w:val="Heading1"/>
    <w:uiPriority w:val="9"/>
    <w:rsid w:val="009B4B7B"/>
    <w:rPr>
      <w:rFonts w:ascii="Arial" w:eastAsia="Arial" w:hAnsi="Arial" w:cs="Arial"/>
      <w:sz w:val="40"/>
      <w:szCs w:val="40"/>
      <w:lang w:val="en" w:eastAsia="en-NZ"/>
    </w:rPr>
  </w:style>
  <w:style w:type="character" w:styleId="Hyperlink">
    <w:name w:val="Hyperlink"/>
    <w:basedOn w:val="DefaultParagraphFont"/>
    <w:uiPriority w:val="99"/>
    <w:unhideWhenUsed/>
    <w:rsid w:val="009B4B7B"/>
    <w:rPr>
      <w:color w:val="0000FF" w:themeColor="hyperlink"/>
      <w:u w:val="single"/>
    </w:rPr>
  </w:style>
  <w:style w:type="paragraph" w:styleId="ListParagraph">
    <w:name w:val="List Paragraph"/>
    <w:aliases w:val="Bullet Normal,Colorful List - Accent 11,List Paragraph numbered,List Paragraph1,List Bullet indent"/>
    <w:basedOn w:val="Normal"/>
    <w:link w:val="ListParagraphChar"/>
    <w:uiPriority w:val="99"/>
    <w:qFormat/>
    <w:rsid w:val="009B4B7B"/>
    <w:pPr>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99"/>
    <w:locked/>
    <w:rsid w:val="009B4B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sa.org.nz/psa/equal-pay-for-dhb-mental-and-public-healt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sa.org.nz/psa/equal-pay-for-dhb-mental-and-public-heal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ng\Applications%20-%20Common\Templates%202007\PSA%20Templates\Sector%20DHB%20header.dotx" TargetMode="External"/></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Sector DHB header</Template>
  <TotalTime>6</TotalTime>
  <Pages>1</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Clement</dc:creator>
  <cp:keywords/>
  <dc:description/>
  <cp:lastModifiedBy>Sue McCullough</cp:lastModifiedBy>
  <cp:revision>2</cp:revision>
  <dcterms:created xsi:type="dcterms:W3CDTF">2022-04-08T03:37:00Z</dcterms:created>
  <dcterms:modified xsi:type="dcterms:W3CDTF">2022-04-08T03:37:00Z</dcterms:modified>
</cp:coreProperties>
</file>